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5B" w:rsidRPr="006E7ABA" w:rsidRDefault="00CF135B" w:rsidP="00082F40">
      <w:pPr>
        <w:spacing w:line="276" w:lineRule="auto"/>
        <w:jc w:val="center"/>
        <w:rPr>
          <w:b/>
          <w:sz w:val="40"/>
          <w:lang w:val="bg-BG"/>
        </w:rPr>
      </w:pPr>
    </w:p>
    <w:p w:rsidR="001924A4" w:rsidRPr="006E7ABA" w:rsidRDefault="00755561" w:rsidP="00082F40">
      <w:pPr>
        <w:spacing w:line="276" w:lineRule="auto"/>
        <w:jc w:val="center"/>
        <w:rPr>
          <w:b/>
          <w:sz w:val="40"/>
          <w:lang w:val="bg-BG"/>
        </w:rPr>
      </w:pPr>
      <w:r w:rsidRPr="006E7ABA">
        <w:rPr>
          <w:b/>
          <w:sz w:val="40"/>
          <w:lang w:val="bg-BG"/>
        </w:rPr>
        <w:t>ОБЩЕСТВЕНО ОБСЪЖДАНЕ</w:t>
      </w:r>
      <w:r w:rsidR="00BE1B7D" w:rsidRPr="006E7ABA">
        <w:rPr>
          <w:b/>
          <w:sz w:val="40"/>
          <w:lang w:val="bg-BG"/>
        </w:rPr>
        <w:t xml:space="preserve"> </w:t>
      </w:r>
    </w:p>
    <w:p w:rsidR="001924A4" w:rsidRPr="006E7ABA" w:rsidRDefault="001924A4" w:rsidP="00082F40">
      <w:pPr>
        <w:spacing w:line="276" w:lineRule="auto"/>
        <w:rPr>
          <w:b/>
          <w:lang w:val="bg-BG"/>
        </w:rPr>
      </w:pPr>
    </w:p>
    <w:p w:rsidR="006C3A7F" w:rsidRPr="006E7ABA" w:rsidRDefault="00755561" w:rsidP="00CF135B">
      <w:pPr>
        <w:spacing w:line="276" w:lineRule="auto"/>
        <w:jc w:val="center"/>
        <w:rPr>
          <w:lang w:val="bg-BG"/>
        </w:rPr>
      </w:pPr>
      <w:r w:rsidRPr="006E7ABA">
        <w:rPr>
          <w:lang w:val="bg-BG"/>
        </w:rPr>
        <w:t>НА</w:t>
      </w:r>
      <w:r w:rsidR="006C3A7F" w:rsidRPr="006E7ABA">
        <w:rPr>
          <w:lang w:val="bg-BG"/>
        </w:rPr>
        <w:t xml:space="preserve"> ПРОМЯНА НА СТРАТЕГИЯ ЗА ВОДЕНО ОТ ОБЩНОСТИТЕ МЕСТНО РАЗВИТИЕ </w:t>
      </w:r>
    </w:p>
    <w:p w:rsidR="00122CE1" w:rsidRPr="006E7ABA" w:rsidRDefault="00122CE1">
      <w:pPr>
        <w:spacing w:after="200" w:line="276" w:lineRule="auto"/>
        <w:rPr>
          <w:szCs w:val="40"/>
          <w:lang w:val="bg-BG"/>
        </w:rPr>
      </w:pPr>
    </w:p>
    <w:p w:rsidR="00687832" w:rsidRPr="006E7ABA" w:rsidRDefault="00687832">
      <w:pPr>
        <w:spacing w:after="200" w:line="276" w:lineRule="auto"/>
        <w:rPr>
          <w:szCs w:val="40"/>
          <w:lang w:val="bg-BG"/>
        </w:rPr>
      </w:pPr>
    </w:p>
    <w:tbl>
      <w:tblPr>
        <w:tblStyle w:val="aa"/>
        <w:tblW w:w="14223" w:type="dxa"/>
        <w:tblInd w:w="-429" w:type="dxa"/>
        <w:tblLook w:val="04A0" w:firstRow="1" w:lastRow="0" w:firstColumn="1" w:lastColumn="0" w:noHBand="0" w:noVBand="1"/>
      </w:tblPr>
      <w:tblGrid>
        <w:gridCol w:w="835"/>
        <w:gridCol w:w="3065"/>
        <w:gridCol w:w="3698"/>
        <w:gridCol w:w="3937"/>
        <w:gridCol w:w="2688"/>
      </w:tblGrid>
      <w:tr w:rsidR="006E7ABA" w:rsidRPr="006E7ABA" w:rsidTr="006E7ABA">
        <w:tc>
          <w:tcPr>
            <w:tcW w:w="835" w:type="dxa"/>
          </w:tcPr>
          <w:p w:rsidR="006E7ABA" w:rsidRPr="006E7ABA" w:rsidRDefault="006E7ABA" w:rsidP="001B56F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t>№ ПО РЕД</w:t>
            </w:r>
          </w:p>
        </w:tc>
        <w:tc>
          <w:tcPr>
            <w:tcW w:w="3065" w:type="dxa"/>
          </w:tcPr>
          <w:p w:rsidR="006E7ABA" w:rsidRPr="006E7ABA" w:rsidRDefault="006E7ABA" w:rsidP="001B56F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t>ПРЕДЛОЖЕНИЯ ЗА ПРОМЯНА</w:t>
            </w:r>
          </w:p>
        </w:tc>
        <w:tc>
          <w:tcPr>
            <w:tcW w:w="3698" w:type="dxa"/>
          </w:tcPr>
          <w:p w:rsidR="006E7ABA" w:rsidRPr="006E7ABA" w:rsidRDefault="006E7ABA" w:rsidP="00F96A9B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t>СТАР ТЕКСТ</w:t>
            </w:r>
          </w:p>
        </w:tc>
        <w:tc>
          <w:tcPr>
            <w:tcW w:w="3937" w:type="dxa"/>
          </w:tcPr>
          <w:p w:rsidR="006E7ABA" w:rsidRPr="006E7ABA" w:rsidRDefault="006E7ABA" w:rsidP="00F96A9B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t>НОВ ТЕКСТ</w:t>
            </w:r>
          </w:p>
        </w:tc>
        <w:tc>
          <w:tcPr>
            <w:tcW w:w="2688" w:type="dxa"/>
          </w:tcPr>
          <w:p w:rsidR="006E7ABA" w:rsidRPr="006E7ABA" w:rsidRDefault="006E7ABA" w:rsidP="00F96A9B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t>МОТИВИ</w:t>
            </w:r>
          </w:p>
        </w:tc>
      </w:tr>
      <w:tr w:rsidR="006E7ABA" w:rsidRPr="006E7ABA" w:rsidTr="006E7ABA">
        <w:tc>
          <w:tcPr>
            <w:tcW w:w="835" w:type="dxa"/>
          </w:tcPr>
          <w:p w:rsidR="006E7ABA" w:rsidRPr="006E7ABA" w:rsidRDefault="006E7ABA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t>1.</w:t>
            </w:r>
          </w:p>
        </w:tc>
        <w:tc>
          <w:tcPr>
            <w:tcW w:w="3065" w:type="dxa"/>
          </w:tcPr>
          <w:p w:rsidR="006E7ABA" w:rsidRPr="006E7ABA" w:rsidRDefault="006E7ABA" w:rsidP="009460D8">
            <w:pPr>
              <w:spacing w:after="200" w:line="276" w:lineRule="auto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>Точка 5 „Описание на мерките“, Мярка 1.3 „Краткосрочен обмен на опит и посещения в земеделски и горски стопанства“, раздел „Критерии за оценка на проектите и тяхната тежест“</w:t>
            </w:r>
          </w:p>
        </w:tc>
        <w:tc>
          <w:tcPr>
            <w:tcW w:w="3698" w:type="dxa"/>
          </w:tcPr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Критерий:</w:t>
            </w:r>
          </w:p>
          <w:p w:rsidR="006E7ABA" w:rsidRPr="006E7ABA" w:rsidRDefault="006E7ABA" w:rsidP="006E7ABA">
            <w:pPr>
              <w:spacing w:after="120"/>
              <w:ind w:right="7"/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„</w:t>
            </w:r>
            <w:r w:rsidRPr="006E7ABA">
              <w:rPr>
                <w:lang w:val="bg-BG"/>
              </w:rPr>
              <w:t>Оценка на темата на учебната програма за съответствие с приоритетни теми, посочени по всяка приоритетна област, които са свързани с пр</w:t>
            </w:r>
            <w:r w:rsidRPr="006E7ABA">
              <w:rPr>
                <w:lang w:val="bg-BG"/>
              </w:rPr>
              <w:t>е</w:t>
            </w:r>
            <w:r w:rsidRPr="006E7ABA">
              <w:rPr>
                <w:lang w:val="bg-BG"/>
              </w:rPr>
              <w:t>сечните цели и са конкретизирани за мярката в обхвата на приоритетн</w:t>
            </w:r>
            <w:r w:rsidRPr="006E7ABA">
              <w:rPr>
                <w:lang w:val="bg-BG"/>
              </w:rPr>
              <w:t>и</w:t>
            </w:r>
            <w:r w:rsidRPr="006E7ABA">
              <w:rPr>
                <w:lang w:val="bg-BG"/>
              </w:rPr>
              <w:t xml:space="preserve">те области, съгласно </w:t>
            </w:r>
            <w:r w:rsidRPr="006E7ABA">
              <w:rPr>
                <w:color w:val="FF0000"/>
                <w:lang w:val="bg-BG"/>
              </w:rPr>
              <w:t>раздел 8.2.1.2</w:t>
            </w:r>
            <w:r w:rsidRPr="006E7ABA">
              <w:rPr>
                <w:lang w:val="bg-BG"/>
              </w:rPr>
              <w:t>. – 40 т.</w:t>
            </w:r>
            <w:r w:rsidRPr="006E7ABA">
              <w:rPr>
                <w:lang w:val="bg-BG"/>
              </w:rPr>
              <w:t>“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</w:p>
        </w:tc>
        <w:tc>
          <w:tcPr>
            <w:tcW w:w="3937" w:type="dxa"/>
          </w:tcPr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Критерий:</w:t>
            </w:r>
          </w:p>
          <w:p w:rsidR="006E7ABA" w:rsidRPr="006E7ABA" w:rsidRDefault="006E7ABA" w:rsidP="006E7ABA">
            <w:pPr>
              <w:jc w:val="both"/>
              <w:rPr>
                <w:color w:val="FF0000"/>
                <w:sz w:val="22"/>
                <w:szCs w:val="20"/>
                <w:lang w:val="bg-BG"/>
              </w:rPr>
            </w:pPr>
            <w:r w:rsidRPr="006E7ABA">
              <w:rPr>
                <w:lang w:val="bg-BG"/>
              </w:rPr>
              <w:t>„Оценка на темата на учебната програма за съответствие с приоритетни теми, посочени по всяка приоритетна област, които са свързани с пресечните цели и са конкретизирани за мярката в обхвата на приоритетн</w:t>
            </w:r>
            <w:r w:rsidRPr="006E7ABA">
              <w:rPr>
                <w:lang w:val="bg-BG"/>
              </w:rPr>
              <w:t>и</w:t>
            </w:r>
            <w:r w:rsidRPr="006E7ABA">
              <w:rPr>
                <w:lang w:val="bg-BG"/>
              </w:rPr>
              <w:t xml:space="preserve">те области, съгласно </w:t>
            </w:r>
            <w:r w:rsidRPr="006E7ABA">
              <w:rPr>
                <w:color w:val="FF0000"/>
                <w:lang w:val="bg-BG"/>
              </w:rPr>
              <w:t>раздел 8.2.1.2. от Програмата за развитие на селските райони за периода 2014-2020 г.</w:t>
            </w:r>
            <w:r w:rsidRPr="006E7ABA">
              <w:rPr>
                <w:color w:val="000000" w:themeColor="text1"/>
                <w:lang w:val="bg-BG"/>
              </w:rPr>
              <w:t xml:space="preserve"> – 40 т.“.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</w:p>
        </w:tc>
        <w:tc>
          <w:tcPr>
            <w:tcW w:w="2688" w:type="dxa"/>
          </w:tcPr>
          <w:p w:rsidR="006E7ABA" w:rsidRPr="006E7ABA" w:rsidRDefault="006E7ABA" w:rsidP="009460D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Прецизиране на препратката към раздел 8.2.1.2</w:t>
            </w:r>
          </w:p>
        </w:tc>
      </w:tr>
      <w:tr w:rsidR="006E7ABA" w:rsidRPr="006E7ABA" w:rsidTr="006E7ABA">
        <w:tc>
          <w:tcPr>
            <w:tcW w:w="835" w:type="dxa"/>
          </w:tcPr>
          <w:p w:rsidR="006E7ABA" w:rsidRPr="006E7ABA" w:rsidRDefault="006E7ABA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lastRenderedPageBreak/>
              <w:t>2.</w:t>
            </w:r>
          </w:p>
        </w:tc>
        <w:tc>
          <w:tcPr>
            <w:tcW w:w="3065" w:type="dxa"/>
          </w:tcPr>
          <w:p w:rsidR="006E7ABA" w:rsidRPr="006E7ABA" w:rsidRDefault="006E7ABA" w:rsidP="009460D8">
            <w:pPr>
              <w:spacing w:after="200" w:line="276" w:lineRule="auto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>Точка 5 „Описание на мерките“, Мярка 1.3 „Краткосрочен обмен на опит и посещения в земеделски и горски стопанства“, раздел „Критерии за оценка на проектите и тяхната тежест“</w:t>
            </w:r>
          </w:p>
        </w:tc>
        <w:tc>
          <w:tcPr>
            <w:tcW w:w="3698" w:type="dxa"/>
          </w:tcPr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Критерий: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„Брой обучени лица – 20 т.“</w:t>
            </w:r>
          </w:p>
        </w:tc>
        <w:tc>
          <w:tcPr>
            <w:tcW w:w="3937" w:type="dxa"/>
          </w:tcPr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Критерий: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„Брой обучени лица – 20 т.:</w:t>
            </w:r>
          </w:p>
          <w:p w:rsidR="006E7ABA" w:rsidRPr="006E7ABA" w:rsidRDefault="006E7ABA" w:rsidP="006E7ABA">
            <w:pPr>
              <w:pStyle w:val="a9"/>
              <w:numPr>
                <w:ilvl w:val="0"/>
                <w:numId w:val="10"/>
              </w:numPr>
              <w:jc w:val="both"/>
              <w:rPr>
                <w:color w:val="FF0000"/>
                <w:lang w:val="bg-BG"/>
              </w:rPr>
            </w:pPr>
            <w:r w:rsidRPr="006E7ABA">
              <w:rPr>
                <w:color w:val="FF0000"/>
                <w:lang w:val="bg-BG"/>
              </w:rPr>
              <w:t>До 5 обучени лица – 10 т.</w:t>
            </w:r>
          </w:p>
          <w:p w:rsidR="006E7ABA" w:rsidRPr="006E7ABA" w:rsidRDefault="006E7ABA" w:rsidP="006E7ABA">
            <w:pPr>
              <w:pStyle w:val="a9"/>
              <w:numPr>
                <w:ilvl w:val="0"/>
                <w:numId w:val="10"/>
              </w:numPr>
              <w:jc w:val="both"/>
              <w:rPr>
                <w:lang w:val="bg-BG"/>
              </w:rPr>
            </w:pPr>
            <w:r w:rsidRPr="006E7ABA">
              <w:rPr>
                <w:color w:val="FF0000"/>
                <w:lang w:val="bg-BG"/>
              </w:rPr>
              <w:t>Повече от 5 обучени лица – 20 т</w:t>
            </w:r>
            <w:r w:rsidRPr="006E7ABA">
              <w:rPr>
                <w:lang w:val="bg-BG"/>
              </w:rPr>
              <w:t>.“</w:t>
            </w:r>
          </w:p>
        </w:tc>
        <w:tc>
          <w:tcPr>
            <w:tcW w:w="2688" w:type="dxa"/>
          </w:tcPr>
          <w:p w:rsidR="006E7ABA" w:rsidRPr="006E7ABA" w:rsidRDefault="006E7ABA" w:rsidP="009460D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Конкретизиране на критерия с цел – яснота на точния брой обучени лица, за които проектът получава 20 т.</w:t>
            </w:r>
          </w:p>
        </w:tc>
      </w:tr>
      <w:tr w:rsidR="006E7ABA" w:rsidRPr="006E7ABA" w:rsidTr="006E7ABA">
        <w:tc>
          <w:tcPr>
            <w:tcW w:w="835" w:type="dxa"/>
          </w:tcPr>
          <w:p w:rsidR="006E7ABA" w:rsidRPr="006E7ABA" w:rsidRDefault="006E7ABA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t>3.</w:t>
            </w:r>
          </w:p>
        </w:tc>
        <w:tc>
          <w:tcPr>
            <w:tcW w:w="3065" w:type="dxa"/>
          </w:tcPr>
          <w:p w:rsidR="006E7ABA" w:rsidRPr="006E7ABA" w:rsidRDefault="006E7ABA" w:rsidP="009460D8">
            <w:pPr>
              <w:spacing w:after="200" w:line="276" w:lineRule="auto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E7ABA">
              <w:rPr>
                <w:lang w:val="bg-BG"/>
              </w:rPr>
              <w:t>Mярка</w:t>
            </w:r>
            <w:proofErr w:type="spellEnd"/>
            <w:r w:rsidRPr="006E7ABA">
              <w:rPr>
                <w:lang w:val="bg-BG"/>
              </w:rPr>
              <w:t xml:space="preserve"> 4.2. "Инвестиции в преработка/маркетинг на селскостопански продукти", раздел „Допустими разходи“</w:t>
            </w:r>
          </w:p>
        </w:tc>
        <w:tc>
          <w:tcPr>
            <w:tcW w:w="3698" w:type="dxa"/>
          </w:tcPr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Недопустими са разходите за: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1.</w:t>
            </w:r>
            <w:r w:rsidRPr="006E7ABA">
              <w:rPr>
                <w:lang w:val="bg-BG"/>
              </w:rPr>
              <w:tab/>
              <w:t>Закупуване на оборудване, машини и съоръжения втора употреба;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2.</w:t>
            </w:r>
            <w:r w:rsidRPr="006E7ABA">
              <w:rPr>
                <w:lang w:val="bg-BG"/>
              </w:rPr>
              <w:tab/>
              <w:t>Данък върху добавена стойност (ДДС), с изключение на невъзстановим ДДС, когато е поет действително и окончателно от кандидати, различни от лицата, освоб</w:t>
            </w:r>
            <w:r w:rsidRPr="006E7ABA">
              <w:rPr>
                <w:lang w:val="bg-BG"/>
              </w:rPr>
              <w:t>о</w:t>
            </w:r>
            <w:r w:rsidRPr="006E7ABA">
              <w:rPr>
                <w:lang w:val="bg-BG"/>
              </w:rPr>
              <w:t>дени от данък съгласно чл. 3, ал. 5 от Закона за данък върху добавената стойност;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3.</w:t>
            </w:r>
            <w:r w:rsidRPr="006E7ABA">
              <w:rPr>
                <w:lang w:val="bg-BG"/>
              </w:rPr>
              <w:tab/>
              <w:t xml:space="preserve">Лизинг, с изключение на финансов лизинг и </w:t>
            </w:r>
            <w:r w:rsidRPr="006E7ABA">
              <w:rPr>
                <w:color w:val="FF0000"/>
                <w:lang w:val="bg-BG"/>
              </w:rPr>
              <w:t>спазване на изискването по чл. 30, ал. 7</w:t>
            </w:r>
            <w:r w:rsidRPr="006E7ABA">
              <w:rPr>
                <w:lang w:val="bg-BG"/>
              </w:rPr>
              <w:t>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lastRenderedPageBreak/>
              <w:t>4.</w:t>
            </w:r>
            <w:r w:rsidRPr="006E7ABA">
              <w:rPr>
                <w:lang w:val="bg-BG"/>
              </w:rPr>
              <w:tab/>
              <w:t>Оперативни разходи, вкл. разходи за поддръжка, наеми, застраховка;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5.</w:t>
            </w:r>
            <w:r w:rsidRPr="006E7ABA">
              <w:rPr>
                <w:lang w:val="bg-BG"/>
              </w:rPr>
              <w:tab/>
              <w:t>Банкови такси, разходи за гаранции, изплащане и рефинансиране на лихви;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6.</w:t>
            </w:r>
            <w:r w:rsidRPr="006E7ABA">
              <w:rPr>
                <w:lang w:val="bg-BG"/>
              </w:rPr>
              <w:tab/>
              <w:t>Принос в натура;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7.</w:t>
            </w:r>
            <w:r w:rsidRPr="006E7ABA">
              <w:rPr>
                <w:lang w:val="bg-BG"/>
              </w:rPr>
              <w:tab/>
              <w:t>Изследвания за разработване на нови продукти, процеси и технологии;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8.</w:t>
            </w:r>
            <w:r w:rsidRPr="006E7ABA">
              <w:rPr>
                <w:lang w:val="bg-BG"/>
              </w:rPr>
              <w:tab/>
              <w:t>Търговия на дребно;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9.</w:t>
            </w:r>
            <w:r w:rsidRPr="006E7ABA">
              <w:rPr>
                <w:lang w:val="bg-BG"/>
              </w:rPr>
              <w:tab/>
              <w:t xml:space="preserve">Сертификация по </w:t>
            </w:r>
            <w:proofErr w:type="spellStart"/>
            <w:r w:rsidRPr="006E7ABA">
              <w:rPr>
                <w:lang w:val="bg-BG"/>
              </w:rPr>
              <w:t>НАССР</w:t>
            </w:r>
            <w:proofErr w:type="spellEnd"/>
            <w:r w:rsidRPr="006E7ABA">
              <w:rPr>
                <w:lang w:val="bg-BG"/>
              </w:rPr>
              <w:t xml:space="preserve"> (Анализ на опасностите и контрол на критичните точки) и по други международно признати стандарти;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10.</w:t>
            </w:r>
            <w:r w:rsidRPr="006E7ABA">
              <w:rPr>
                <w:lang w:val="bg-BG"/>
              </w:rPr>
              <w:tab/>
              <w:t>Закупуване на нови машини и оборудване, вкл. компютърен софтуер, над п</w:t>
            </w:r>
            <w:r w:rsidRPr="006E7ABA">
              <w:rPr>
                <w:lang w:val="bg-BG"/>
              </w:rPr>
              <w:t>а</w:t>
            </w:r>
            <w:r w:rsidRPr="006E7ABA">
              <w:rPr>
                <w:lang w:val="bg-BG"/>
              </w:rPr>
              <w:t>зарната им стойност;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11.</w:t>
            </w:r>
            <w:r w:rsidRPr="006E7ABA">
              <w:rPr>
                <w:lang w:val="bg-BG"/>
              </w:rPr>
              <w:tab/>
              <w:t>Плащания в брой;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12.</w:t>
            </w:r>
            <w:r w:rsidRPr="006E7ABA">
              <w:rPr>
                <w:lang w:val="bg-BG"/>
              </w:rPr>
              <w:tab/>
              <w:t>Лихви и комисиони, печалба на лизинговата компания, разходи по лихви за рефинансиране, оперативни и застрахователни разходи по лизинговия договор, в сл</w:t>
            </w:r>
            <w:r w:rsidRPr="006E7ABA">
              <w:rPr>
                <w:lang w:val="bg-BG"/>
              </w:rPr>
              <w:t>у</w:t>
            </w:r>
            <w:r w:rsidRPr="006E7ABA">
              <w:rPr>
                <w:lang w:val="bg-BG"/>
              </w:rPr>
              <w:t xml:space="preserve">чаите </w:t>
            </w:r>
            <w:r w:rsidRPr="006E7ABA">
              <w:rPr>
                <w:lang w:val="bg-BG"/>
              </w:rPr>
              <w:lastRenderedPageBreak/>
              <w:t>на финансов лизинг;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13.</w:t>
            </w:r>
            <w:r w:rsidRPr="006E7ABA">
              <w:rPr>
                <w:lang w:val="bg-BG"/>
              </w:rPr>
              <w:tab/>
              <w:t>Инвестиции, за които са установени изкуствено създадени условия за получ</w:t>
            </w:r>
            <w:r w:rsidRPr="006E7ABA">
              <w:rPr>
                <w:lang w:val="bg-BG"/>
              </w:rPr>
              <w:t>а</w:t>
            </w:r>
            <w:r w:rsidRPr="006E7ABA">
              <w:rPr>
                <w:lang w:val="bg-BG"/>
              </w:rPr>
              <w:t>ване на помощта, с цел осъществяване на предимство в противоречие с целите на мя</w:t>
            </w:r>
            <w:r w:rsidRPr="006E7ABA">
              <w:rPr>
                <w:lang w:val="bg-BG"/>
              </w:rPr>
              <w:t>р</w:t>
            </w:r>
            <w:r w:rsidRPr="006E7ABA">
              <w:rPr>
                <w:lang w:val="bg-BG"/>
              </w:rPr>
              <w:t>ката;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14.</w:t>
            </w:r>
            <w:r w:rsidRPr="006E7ABA">
              <w:rPr>
                <w:lang w:val="bg-BG"/>
              </w:rPr>
              <w:tab/>
              <w:t>Инвестиции, които представляват обикновена подмяна.</w:t>
            </w:r>
          </w:p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</w:p>
        </w:tc>
        <w:tc>
          <w:tcPr>
            <w:tcW w:w="3937" w:type="dxa"/>
          </w:tcPr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lastRenderedPageBreak/>
              <w:t>Недопустими са разходите за: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1.</w:t>
            </w:r>
            <w:r w:rsidRPr="006E7ABA">
              <w:rPr>
                <w:lang w:val="bg-BG"/>
              </w:rPr>
              <w:tab/>
              <w:t>Закупуване на оборудване, машини и съоръжения втора употреба;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2.</w:t>
            </w:r>
            <w:r w:rsidRPr="006E7ABA">
              <w:rPr>
                <w:lang w:val="bg-BG"/>
              </w:rPr>
              <w:tab/>
              <w:t>Данък върху добавена стойност (ДДС), с изключение на невъзстановим ДДС, когато е поет действително и окончателно от кандидати, различни от лицата, освоб</w:t>
            </w:r>
            <w:r w:rsidRPr="006E7ABA">
              <w:rPr>
                <w:lang w:val="bg-BG"/>
              </w:rPr>
              <w:t>о</w:t>
            </w:r>
            <w:r w:rsidRPr="006E7ABA">
              <w:rPr>
                <w:lang w:val="bg-BG"/>
              </w:rPr>
              <w:t>дени от данък съгласно чл. 3, ал. 5 от Закона за данък върху добавената стойност;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3.</w:t>
            </w:r>
            <w:r w:rsidRPr="006E7ABA">
              <w:rPr>
                <w:lang w:val="bg-BG"/>
              </w:rPr>
              <w:tab/>
            </w:r>
            <w:r w:rsidRPr="006E7ABA">
              <w:rPr>
                <w:szCs w:val="20"/>
                <w:lang w:val="bg-BG"/>
              </w:rPr>
              <w:t xml:space="preserve">Лизинг, с изключение на финансов лизинг </w:t>
            </w:r>
            <w:r w:rsidRPr="006E7ABA">
              <w:rPr>
                <w:color w:val="FF0000"/>
                <w:szCs w:val="20"/>
                <w:lang w:val="bg-BG"/>
              </w:rPr>
              <w:t xml:space="preserve">при условие, че ползвателят на помощта стане собственик на съответния актив не </w:t>
            </w:r>
            <w:r w:rsidRPr="006E7ABA">
              <w:rPr>
                <w:color w:val="FF0000"/>
                <w:szCs w:val="20"/>
                <w:lang w:val="bg-BG"/>
              </w:rPr>
              <w:lastRenderedPageBreak/>
              <w:t>по-късно от датата на подаване на заявката за междинно или окончателно плащане за същия актив</w:t>
            </w:r>
            <w:r w:rsidRPr="006E7ABA">
              <w:rPr>
                <w:szCs w:val="20"/>
                <w:lang w:val="bg-BG"/>
              </w:rPr>
              <w:t>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4.</w:t>
            </w:r>
            <w:r w:rsidRPr="006E7ABA">
              <w:rPr>
                <w:lang w:val="bg-BG"/>
              </w:rPr>
              <w:tab/>
              <w:t>Оперативни разходи, вкл. разходи за поддръжка, наеми, застраховка;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5.</w:t>
            </w:r>
            <w:r w:rsidRPr="006E7ABA">
              <w:rPr>
                <w:lang w:val="bg-BG"/>
              </w:rPr>
              <w:tab/>
              <w:t>Банкови такси, разходи за гаранции, изплащане и рефинансиране на лихви;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6.</w:t>
            </w:r>
            <w:r w:rsidRPr="006E7ABA">
              <w:rPr>
                <w:lang w:val="bg-BG"/>
              </w:rPr>
              <w:tab/>
              <w:t>Принос в натура;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7.</w:t>
            </w:r>
            <w:r w:rsidRPr="006E7ABA">
              <w:rPr>
                <w:lang w:val="bg-BG"/>
              </w:rPr>
              <w:tab/>
              <w:t>Изследвания за разработване на нови продукти, процеси и технологии;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8.</w:t>
            </w:r>
            <w:r w:rsidRPr="006E7ABA">
              <w:rPr>
                <w:lang w:val="bg-BG"/>
              </w:rPr>
              <w:tab/>
              <w:t>Търговия на дребно;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9.</w:t>
            </w:r>
            <w:r w:rsidRPr="006E7ABA">
              <w:rPr>
                <w:lang w:val="bg-BG"/>
              </w:rPr>
              <w:tab/>
              <w:t xml:space="preserve">Сертификация по </w:t>
            </w:r>
            <w:proofErr w:type="spellStart"/>
            <w:r w:rsidRPr="006E7ABA">
              <w:rPr>
                <w:lang w:val="bg-BG"/>
              </w:rPr>
              <w:t>НАССР</w:t>
            </w:r>
            <w:proofErr w:type="spellEnd"/>
            <w:r w:rsidRPr="006E7ABA">
              <w:rPr>
                <w:lang w:val="bg-BG"/>
              </w:rPr>
              <w:t xml:space="preserve"> (Анализ на опасностите и контрол на критичните точки) и по други международно признати стандарти;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10.</w:t>
            </w:r>
            <w:r w:rsidRPr="006E7ABA">
              <w:rPr>
                <w:lang w:val="bg-BG"/>
              </w:rPr>
              <w:tab/>
              <w:t>Закупуване на нови машини и оборудване, вкл. компютърен софтуер, над п</w:t>
            </w:r>
            <w:r w:rsidRPr="006E7ABA">
              <w:rPr>
                <w:lang w:val="bg-BG"/>
              </w:rPr>
              <w:t>а</w:t>
            </w:r>
            <w:r w:rsidRPr="006E7ABA">
              <w:rPr>
                <w:lang w:val="bg-BG"/>
              </w:rPr>
              <w:t>зарната им стойност;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11.</w:t>
            </w:r>
            <w:r w:rsidRPr="006E7ABA">
              <w:rPr>
                <w:lang w:val="bg-BG"/>
              </w:rPr>
              <w:tab/>
              <w:t>Плащания в брой;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12.</w:t>
            </w:r>
            <w:r w:rsidRPr="006E7ABA">
              <w:rPr>
                <w:lang w:val="bg-BG"/>
              </w:rPr>
              <w:tab/>
              <w:t xml:space="preserve">Лихви и комисиони, печалба на лизинговата компания, разходи по лихви за рефинансиране, </w:t>
            </w:r>
            <w:r w:rsidRPr="006E7ABA">
              <w:rPr>
                <w:lang w:val="bg-BG"/>
              </w:rPr>
              <w:lastRenderedPageBreak/>
              <w:t>оперативни и застрахователни разходи по лизинговия договор, в сл</w:t>
            </w:r>
            <w:r w:rsidRPr="006E7ABA">
              <w:rPr>
                <w:lang w:val="bg-BG"/>
              </w:rPr>
              <w:t>у</w:t>
            </w:r>
            <w:r w:rsidRPr="006E7ABA">
              <w:rPr>
                <w:lang w:val="bg-BG"/>
              </w:rPr>
              <w:t>чаите на финансов лизинг;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13.</w:t>
            </w:r>
            <w:r w:rsidRPr="006E7ABA">
              <w:rPr>
                <w:lang w:val="bg-BG"/>
              </w:rPr>
              <w:tab/>
              <w:t>Инвестиции, за които са установени изкуствено създадени условия за получ</w:t>
            </w:r>
            <w:r w:rsidRPr="006E7ABA">
              <w:rPr>
                <w:lang w:val="bg-BG"/>
              </w:rPr>
              <w:t>а</w:t>
            </w:r>
            <w:r w:rsidRPr="006E7ABA">
              <w:rPr>
                <w:lang w:val="bg-BG"/>
              </w:rPr>
              <w:t>ване на помощта, с цел осъществяване на предимство в противоречие с целите на мя</w:t>
            </w:r>
            <w:r w:rsidRPr="006E7ABA">
              <w:rPr>
                <w:lang w:val="bg-BG"/>
              </w:rPr>
              <w:t>р</w:t>
            </w:r>
            <w:r w:rsidRPr="006E7ABA">
              <w:rPr>
                <w:lang w:val="bg-BG"/>
              </w:rPr>
              <w:t>ката;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14.</w:t>
            </w:r>
            <w:r w:rsidRPr="006E7ABA">
              <w:rPr>
                <w:lang w:val="bg-BG"/>
              </w:rPr>
              <w:tab/>
              <w:t>Инвестиции, които представляват обикновена подмяна.</w:t>
            </w:r>
          </w:p>
          <w:p w:rsidR="006E7ABA" w:rsidRPr="006E7ABA" w:rsidRDefault="006E7ABA" w:rsidP="006E7ABA">
            <w:pPr>
              <w:spacing w:line="276" w:lineRule="auto"/>
              <w:jc w:val="both"/>
              <w:rPr>
                <w:szCs w:val="40"/>
                <w:lang w:val="bg-BG"/>
              </w:rPr>
            </w:pPr>
          </w:p>
        </w:tc>
        <w:tc>
          <w:tcPr>
            <w:tcW w:w="2688" w:type="dxa"/>
          </w:tcPr>
          <w:p w:rsidR="006E7ABA" w:rsidRPr="006E7ABA" w:rsidRDefault="006E7ABA" w:rsidP="009460D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Промяната е във връзка с промяна в нормативната уредба. </w:t>
            </w:r>
          </w:p>
        </w:tc>
      </w:tr>
      <w:tr w:rsidR="006E7ABA" w:rsidRPr="006E7ABA" w:rsidTr="006E7ABA">
        <w:tc>
          <w:tcPr>
            <w:tcW w:w="835" w:type="dxa"/>
          </w:tcPr>
          <w:p w:rsidR="006E7ABA" w:rsidRPr="006E7ABA" w:rsidRDefault="006E7ABA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lastRenderedPageBreak/>
              <w:t>4.</w:t>
            </w:r>
          </w:p>
        </w:tc>
        <w:tc>
          <w:tcPr>
            <w:tcW w:w="3065" w:type="dxa"/>
          </w:tcPr>
          <w:p w:rsidR="006E7ABA" w:rsidRPr="006E7ABA" w:rsidRDefault="006E7ABA" w:rsidP="006E7ABA">
            <w:pPr>
              <w:spacing w:after="200" w:line="276" w:lineRule="auto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E7ABA">
              <w:rPr>
                <w:lang w:val="bg-BG"/>
              </w:rPr>
              <w:t>Mярка</w:t>
            </w:r>
            <w:proofErr w:type="spellEnd"/>
            <w:r w:rsidRPr="006E7ABA">
              <w:rPr>
                <w:lang w:val="bg-BG"/>
              </w:rPr>
              <w:t xml:space="preserve"> 4.2 „Инвестиции в преработка/маркетинг на селскостопански продукти“, раздел „Критерии за оценка на проектите и тяхната тежест“</w:t>
            </w:r>
          </w:p>
        </w:tc>
        <w:tc>
          <w:tcPr>
            <w:tcW w:w="3698" w:type="dxa"/>
          </w:tcPr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>Критерий 1:</w:t>
            </w:r>
          </w:p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  <w:r w:rsidRPr="006E7ABA">
              <w:rPr>
                <w:szCs w:val="20"/>
                <w:lang w:val="bg-BG"/>
              </w:rPr>
              <w:t>„</w:t>
            </w:r>
            <w:r w:rsidRPr="006E7ABA">
              <w:rPr>
                <w:szCs w:val="20"/>
                <w:lang w:val="bg-BG"/>
              </w:rPr>
              <w:t xml:space="preserve">Инвестиции за преработка на суровини от чувствителни сектори </w:t>
            </w:r>
            <w:r w:rsidRPr="006E7ABA">
              <w:rPr>
                <w:color w:val="FF0000"/>
                <w:szCs w:val="20"/>
                <w:lang w:val="bg-BG"/>
              </w:rPr>
              <w:t>съгласно прилож</w:t>
            </w:r>
            <w:r w:rsidRPr="006E7ABA">
              <w:rPr>
                <w:color w:val="FF0000"/>
                <w:szCs w:val="20"/>
                <w:lang w:val="bg-BG"/>
              </w:rPr>
              <w:t>е</w:t>
            </w:r>
            <w:r w:rsidRPr="006E7ABA">
              <w:rPr>
                <w:color w:val="FF0000"/>
                <w:szCs w:val="20"/>
                <w:lang w:val="bg-BG"/>
              </w:rPr>
              <w:t xml:space="preserve">ние № 5 </w:t>
            </w:r>
            <w:r w:rsidRPr="006E7ABA">
              <w:rPr>
                <w:color w:val="000000" w:themeColor="text1"/>
                <w:szCs w:val="20"/>
                <w:lang w:val="bg-BG"/>
              </w:rPr>
              <w:t>– 25 т.</w:t>
            </w:r>
            <w:r w:rsidRPr="006E7ABA">
              <w:rPr>
                <w:color w:val="000000" w:themeColor="text1"/>
                <w:szCs w:val="20"/>
                <w:lang w:val="bg-BG"/>
              </w:rPr>
              <w:t>“</w:t>
            </w:r>
          </w:p>
        </w:tc>
        <w:tc>
          <w:tcPr>
            <w:tcW w:w="3937" w:type="dxa"/>
          </w:tcPr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>Критерий 1:</w:t>
            </w:r>
          </w:p>
          <w:p w:rsidR="006E7ABA" w:rsidRPr="006E7ABA" w:rsidRDefault="006E7ABA" w:rsidP="006E7ABA">
            <w:pPr>
              <w:ind w:left="92"/>
              <w:jc w:val="both"/>
              <w:rPr>
                <w:szCs w:val="20"/>
                <w:lang w:val="bg-BG"/>
              </w:rPr>
            </w:pPr>
            <w:r w:rsidRPr="006E7ABA">
              <w:rPr>
                <w:szCs w:val="20"/>
                <w:lang w:val="bg-BG"/>
              </w:rPr>
              <w:t xml:space="preserve">„Инвестиции за преработка на суровини от секторите </w:t>
            </w:r>
            <w:r w:rsidRPr="006E7ABA">
              <w:rPr>
                <w:color w:val="FF0000"/>
                <w:szCs w:val="20"/>
                <w:lang w:val="bg-BG"/>
              </w:rPr>
              <w:t xml:space="preserve">животновъдство и пчеларство, </w:t>
            </w:r>
            <w:proofErr w:type="spellStart"/>
            <w:r w:rsidRPr="006E7ABA">
              <w:rPr>
                <w:color w:val="FF0000"/>
                <w:szCs w:val="20"/>
                <w:lang w:val="bg-BG"/>
              </w:rPr>
              <w:t>черупкови</w:t>
            </w:r>
            <w:proofErr w:type="spellEnd"/>
            <w:r w:rsidRPr="006E7ABA">
              <w:rPr>
                <w:color w:val="FF0000"/>
                <w:szCs w:val="20"/>
                <w:lang w:val="bg-BG"/>
              </w:rPr>
              <w:t xml:space="preserve"> и други трайни насаждения, зеленчукопроизводство и етерично-маслени култури </w:t>
            </w:r>
            <w:r w:rsidRPr="006E7ABA">
              <w:rPr>
                <w:color w:val="000000" w:themeColor="text1"/>
                <w:szCs w:val="20"/>
                <w:lang w:val="bg-BG"/>
              </w:rPr>
              <w:t>– 25 т.“</w:t>
            </w:r>
          </w:p>
        </w:tc>
        <w:tc>
          <w:tcPr>
            <w:tcW w:w="2688" w:type="dxa"/>
          </w:tcPr>
          <w:p w:rsidR="006E7ABA" w:rsidRPr="006E7ABA" w:rsidRDefault="006E7ABA" w:rsidP="006C4460">
            <w:pPr>
              <w:spacing w:after="200" w:line="276" w:lineRule="auto"/>
              <w:rPr>
                <w:szCs w:val="40"/>
                <w:lang w:val="bg-BG"/>
              </w:rPr>
            </w:pPr>
            <w:r>
              <w:rPr>
                <w:szCs w:val="40"/>
                <w:lang w:val="bg-BG"/>
              </w:rPr>
              <w:t>Промяната е във връзка с промяна на нормативната уредба.</w:t>
            </w:r>
          </w:p>
        </w:tc>
      </w:tr>
      <w:tr w:rsidR="006E7ABA" w:rsidRPr="006E7ABA" w:rsidTr="006E7ABA">
        <w:tc>
          <w:tcPr>
            <w:tcW w:w="835" w:type="dxa"/>
          </w:tcPr>
          <w:p w:rsidR="006E7ABA" w:rsidRPr="006E7ABA" w:rsidRDefault="006E7ABA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t>5.</w:t>
            </w:r>
          </w:p>
        </w:tc>
        <w:tc>
          <w:tcPr>
            <w:tcW w:w="3065" w:type="dxa"/>
          </w:tcPr>
          <w:p w:rsidR="006E7ABA" w:rsidRPr="006E7ABA" w:rsidRDefault="006E7ABA" w:rsidP="006E7ABA">
            <w:pPr>
              <w:spacing w:after="200" w:line="276" w:lineRule="auto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E7ABA">
              <w:rPr>
                <w:lang w:val="bg-BG"/>
              </w:rPr>
              <w:t>Mярка</w:t>
            </w:r>
            <w:proofErr w:type="spellEnd"/>
            <w:r w:rsidRPr="006E7ABA">
              <w:rPr>
                <w:lang w:val="bg-BG"/>
              </w:rPr>
              <w:t xml:space="preserve"> 4.2 „Инвестиции в </w:t>
            </w:r>
            <w:r w:rsidRPr="006E7ABA">
              <w:rPr>
                <w:lang w:val="bg-BG"/>
              </w:rPr>
              <w:lastRenderedPageBreak/>
              <w:t>преработка/маркетинг на селскостопански продукти“, раздел „Критерии за оценка на проектите и тяхната тежест“</w:t>
            </w:r>
          </w:p>
        </w:tc>
        <w:tc>
          <w:tcPr>
            <w:tcW w:w="3698" w:type="dxa"/>
          </w:tcPr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lastRenderedPageBreak/>
              <w:t>Критерий 5:</w:t>
            </w:r>
          </w:p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  <w:r w:rsidRPr="006E7ABA">
              <w:rPr>
                <w:szCs w:val="20"/>
                <w:lang w:val="bg-BG"/>
              </w:rPr>
              <w:t xml:space="preserve">„Инвестиции за насърчаване на кооперирането и интеграцията </w:t>
            </w:r>
            <w:r w:rsidRPr="006E7ABA">
              <w:rPr>
                <w:szCs w:val="20"/>
                <w:lang w:val="bg-BG"/>
              </w:rPr>
              <w:lastRenderedPageBreak/>
              <w:t xml:space="preserve">между земеделските стопани и предприятия от преработвателната промишленост </w:t>
            </w:r>
            <w:r w:rsidRPr="006E7ABA">
              <w:rPr>
                <w:color w:val="FF0000"/>
                <w:szCs w:val="20"/>
                <w:lang w:val="bg-BG"/>
              </w:rPr>
              <w:t>(Предприятието на ка</w:t>
            </w:r>
            <w:r w:rsidRPr="006E7ABA">
              <w:rPr>
                <w:color w:val="FF0000"/>
                <w:szCs w:val="20"/>
                <w:lang w:val="bg-BG"/>
              </w:rPr>
              <w:t>н</w:t>
            </w:r>
            <w:r w:rsidRPr="006E7ABA">
              <w:rPr>
                <w:color w:val="FF0000"/>
                <w:szCs w:val="20"/>
                <w:lang w:val="bg-BG"/>
              </w:rPr>
              <w:t xml:space="preserve">дидата предвижда в бизнес плана преработката на минимум 65% собствени или на членовете на групата/организация на производители или на предприятието суровини (земеделски продукти)  </w:t>
            </w:r>
            <w:r w:rsidRPr="006E7ABA">
              <w:rPr>
                <w:szCs w:val="20"/>
                <w:lang w:val="bg-BG"/>
              </w:rPr>
              <w:t>- 10 т.“</w:t>
            </w:r>
          </w:p>
        </w:tc>
        <w:tc>
          <w:tcPr>
            <w:tcW w:w="3937" w:type="dxa"/>
          </w:tcPr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lastRenderedPageBreak/>
              <w:t>Критерий 5:</w:t>
            </w:r>
          </w:p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  <w:r w:rsidRPr="006E7ABA">
              <w:rPr>
                <w:szCs w:val="20"/>
                <w:lang w:val="bg-BG"/>
              </w:rPr>
              <w:t xml:space="preserve">„Инвестиции за насърчаване на кооперирането и интеграцията </w:t>
            </w:r>
            <w:r w:rsidRPr="006E7ABA">
              <w:rPr>
                <w:szCs w:val="20"/>
                <w:lang w:val="bg-BG"/>
              </w:rPr>
              <w:lastRenderedPageBreak/>
              <w:t>между земеделските стопани и предприятия от преработвателната промишленост - 10 т.“</w:t>
            </w:r>
          </w:p>
        </w:tc>
        <w:tc>
          <w:tcPr>
            <w:tcW w:w="2688" w:type="dxa"/>
          </w:tcPr>
          <w:p w:rsidR="006E7ABA" w:rsidRPr="006E7ABA" w:rsidRDefault="000E40C0" w:rsidP="00F96A9B">
            <w:pPr>
              <w:spacing w:after="200" w:line="276" w:lineRule="auto"/>
              <w:rPr>
                <w:szCs w:val="40"/>
                <w:lang w:val="bg-BG"/>
              </w:rPr>
            </w:pPr>
            <w:r>
              <w:rPr>
                <w:szCs w:val="40"/>
                <w:lang w:val="bg-BG"/>
              </w:rPr>
              <w:lastRenderedPageBreak/>
              <w:t xml:space="preserve">Уточнението в скоби съдържа противоречие с основния текст на </w:t>
            </w:r>
            <w:r>
              <w:rPr>
                <w:szCs w:val="40"/>
                <w:lang w:val="bg-BG"/>
              </w:rPr>
              <w:lastRenderedPageBreak/>
              <w:t>критерия.</w:t>
            </w:r>
          </w:p>
        </w:tc>
      </w:tr>
      <w:tr w:rsidR="006E7ABA" w:rsidRPr="006E7ABA" w:rsidTr="006E7ABA">
        <w:tc>
          <w:tcPr>
            <w:tcW w:w="835" w:type="dxa"/>
          </w:tcPr>
          <w:p w:rsidR="006E7ABA" w:rsidRPr="006E7ABA" w:rsidRDefault="006E7ABA" w:rsidP="00826A5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lastRenderedPageBreak/>
              <w:t>6.</w:t>
            </w:r>
          </w:p>
        </w:tc>
        <w:tc>
          <w:tcPr>
            <w:tcW w:w="3065" w:type="dxa"/>
          </w:tcPr>
          <w:p w:rsidR="006E7ABA" w:rsidRPr="006E7ABA" w:rsidRDefault="006E7ABA" w:rsidP="006E7ABA">
            <w:pPr>
              <w:spacing w:after="200" w:line="276" w:lineRule="auto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E7ABA">
              <w:rPr>
                <w:lang w:val="bg-BG"/>
              </w:rPr>
              <w:t>Mярка</w:t>
            </w:r>
            <w:proofErr w:type="spellEnd"/>
            <w:r w:rsidRPr="006E7ABA">
              <w:rPr>
                <w:lang w:val="bg-BG"/>
              </w:rPr>
              <w:t xml:space="preserve"> 7.5 „Инвестиции за публично ползване в туристическа инфраструктура за отдих, туристическа информация и малка по мащаб туристическа инфраструктура“, раздел „Критерии за оценка на проектите и тяхната </w:t>
            </w:r>
            <w:r w:rsidRPr="006E7ABA">
              <w:rPr>
                <w:lang w:val="bg-BG"/>
              </w:rPr>
              <w:lastRenderedPageBreak/>
              <w:t>тежест“</w:t>
            </w:r>
          </w:p>
        </w:tc>
        <w:tc>
          <w:tcPr>
            <w:tcW w:w="3698" w:type="dxa"/>
          </w:tcPr>
          <w:p w:rsidR="006E7ABA" w:rsidRPr="006E7ABA" w:rsidRDefault="006E7ABA" w:rsidP="006E7ABA">
            <w:pPr>
              <w:jc w:val="both"/>
              <w:rPr>
                <w:color w:val="000000" w:themeColor="text1"/>
                <w:lang w:val="bg-BG"/>
              </w:rPr>
            </w:pPr>
            <w:r w:rsidRPr="006E7ABA">
              <w:rPr>
                <w:color w:val="000000" w:themeColor="text1"/>
                <w:lang w:val="bg-BG"/>
              </w:rPr>
              <w:lastRenderedPageBreak/>
              <w:t>Критерий: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color w:val="FF0000"/>
                <w:szCs w:val="20"/>
                <w:lang w:val="bg-BG"/>
              </w:rPr>
              <w:t xml:space="preserve">„Проекти, отговарящи на приоритетите и целите на Общински план за развитие за периода 2014-2020 г. и плана за управление на природен парк </w:t>
            </w:r>
            <w:proofErr w:type="spellStart"/>
            <w:r w:rsidRPr="006E7ABA">
              <w:rPr>
                <w:color w:val="FF0000"/>
                <w:szCs w:val="20"/>
                <w:lang w:val="bg-BG"/>
              </w:rPr>
              <w:t>Персина</w:t>
            </w:r>
            <w:proofErr w:type="spellEnd"/>
            <w:r w:rsidRPr="006E7ABA">
              <w:rPr>
                <w:color w:val="FF0000"/>
                <w:szCs w:val="20"/>
                <w:lang w:val="bg-BG"/>
              </w:rPr>
              <w:t xml:space="preserve"> </w:t>
            </w:r>
            <w:r w:rsidRPr="006E7ABA">
              <w:rPr>
                <w:szCs w:val="20"/>
                <w:lang w:val="bg-BG"/>
              </w:rPr>
              <w:t xml:space="preserve">– 30 т.“ </w:t>
            </w:r>
            <w:r w:rsidRPr="006E7ABA">
              <w:rPr>
                <w:color w:val="FF0000"/>
                <w:lang w:val="bg-BG"/>
              </w:rPr>
              <w:t xml:space="preserve"> </w:t>
            </w:r>
          </w:p>
        </w:tc>
        <w:tc>
          <w:tcPr>
            <w:tcW w:w="3937" w:type="dxa"/>
          </w:tcPr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Критерий:</w:t>
            </w:r>
          </w:p>
          <w:p w:rsidR="006E7ABA" w:rsidRPr="006E7ABA" w:rsidRDefault="006E7ABA" w:rsidP="006E7ABA">
            <w:pPr>
              <w:pStyle w:val="ac"/>
              <w:jc w:val="both"/>
              <w:rPr>
                <w:sz w:val="24"/>
                <w:szCs w:val="20"/>
              </w:rPr>
            </w:pPr>
            <w:r w:rsidRPr="006E7ABA">
              <w:rPr>
                <w:color w:val="FF0000"/>
                <w:sz w:val="24"/>
                <w:szCs w:val="20"/>
              </w:rPr>
              <w:t xml:space="preserve">„Проекти за нов/а за територията на общината туристически продукт/услуга </w:t>
            </w:r>
            <w:r w:rsidRPr="006E7ABA">
              <w:rPr>
                <w:sz w:val="24"/>
                <w:szCs w:val="20"/>
              </w:rPr>
              <w:t>– 30 т.“</w:t>
            </w: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</w:p>
        </w:tc>
        <w:tc>
          <w:tcPr>
            <w:tcW w:w="2688" w:type="dxa"/>
          </w:tcPr>
          <w:p w:rsidR="006E7ABA" w:rsidRPr="006E7ABA" w:rsidRDefault="000E40C0" w:rsidP="000E40C0">
            <w:pPr>
              <w:rPr>
                <w:lang w:val="bg-BG"/>
              </w:rPr>
            </w:pPr>
            <w:r>
              <w:rPr>
                <w:lang w:val="bg-BG"/>
              </w:rPr>
              <w:t>Настоящият текст е условие за допустимост на проектите, а не критерий за оценка.</w:t>
            </w:r>
          </w:p>
        </w:tc>
      </w:tr>
      <w:tr w:rsidR="006E7ABA" w:rsidRPr="006E7ABA" w:rsidTr="006E7ABA">
        <w:tc>
          <w:tcPr>
            <w:tcW w:w="835" w:type="dxa"/>
          </w:tcPr>
          <w:p w:rsidR="006E7ABA" w:rsidRPr="006E7ABA" w:rsidRDefault="006E7ABA" w:rsidP="00826A5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lastRenderedPageBreak/>
              <w:t>7.</w:t>
            </w:r>
          </w:p>
        </w:tc>
        <w:tc>
          <w:tcPr>
            <w:tcW w:w="3065" w:type="dxa"/>
          </w:tcPr>
          <w:p w:rsidR="006E7ABA" w:rsidRPr="006E7ABA" w:rsidRDefault="006E7ABA" w:rsidP="006E7ABA">
            <w:pPr>
              <w:spacing w:after="200" w:line="276" w:lineRule="auto"/>
              <w:rPr>
                <w:lang w:val="bg-BG"/>
              </w:rPr>
            </w:pPr>
            <w:r w:rsidRPr="006E7ABA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E7ABA">
              <w:rPr>
                <w:lang w:val="bg-BG"/>
              </w:rPr>
              <w:t>Mярка</w:t>
            </w:r>
            <w:proofErr w:type="spellEnd"/>
            <w:r w:rsidRPr="006E7ABA">
              <w:rPr>
                <w:lang w:val="bg-BG"/>
              </w:rPr>
              <w:t xml:space="preserve"> 8.1 „Подпомагане за залесяване и създаване на горски масиви“, раздел „Допустими дейности и разходи за тях“</w:t>
            </w:r>
          </w:p>
        </w:tc>
        <w:tc>
          <w:tcPr>
            <w:tcW w:w="3698" w:type="dxa"/>
          </w:tcPr>
          <w:p w:rsidR="006E7ABA" w:rsidRPr="006E7ABA" w:rsidRDefault="006E7ABA" w:rsidP="006E7ABA">
            <w:pPr>
              <w:tabs>
                <w:tab w:val="left" w:pos="142"/>
              </w:tabs>
              <w:spacing w:after="120"/>
              <w:ind w:right="567"/>
              <w:jc w:val="both"/>
              <w:rPr>
                <w:b/>
                <w:lang w:val="bg-BG"/>
              </w:rPr>
            </w:pPr>
            <w:r w:rsidRPr="006E7ABA">
              <w:rPr>
                <w:b/>
                <w:lang w:val="bg-BG"/>
              </w:rPr>
              <w:t>Нематериални инвестиции:</w:t>
            </w:r>
          </w:p>
          <w:p w:rsidR="006E7ABA" w:rsidRPr="006E7ABA" w:rsidRDefault="006E7ABA" w:rsidP="006E7ABA">
            <w:pPr>
              <w:tabs>
                <w:tab w:val="left" w:pos="142"/>
              </w:tabs>
              <w:spacing w:after="120"/>
              <w:ind w:right="-24"/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1.   Общи разходи свързани със съответния проект за предпроектни пр</w:t>
            </w:r>
            <w:r w:rsidRPr="006E7ABA">
              <w:rPr>
                <w:lang w:val="bg-BG"/>
              </w:rPr>
              <w:t>о</w:t>
            </w:r>
            <w:r w:rsidRPr="006E7ABA">
              <w:rPr>
                <w:lang w:val="bg-BG"/>
              </w:rPr>
              <w:t>учвания, такси, хонорари за архитекти, инженери и консултантски усл</w:t>
            </w:r>
            <w:r w:rsidRPr="006E7ABA">
              <w:rPr>
                <w:lang w:val="bg-BG"/>
              </w:rPr>
              <w:t>у</w:t>
            </w:r>
            <w:r w:rsidRPr="006E7ABA">
              <w:rPr>
                <w:lang w:val="bg-BG"/>
              </w:rPr>
              <w:t>ги, консултации за екологична и икономическа устойчивост на проекти, проучвания за техническа осъществимост на проекта. Общите разходи по проекта не могат да надхвърлят 12 % от общия размер на допустим</w:t>
            </w:r>
            <w:r w:rsidRPr="006E7ABA">
              <w:rPr>
                <w:lang w:val="bg-BG"/>
              </w:rPr>
              <w:t>и</w:t>
            </w:r>
            <w:r w:rsidRPr="006E7ABA">
              <w:rPr>
                <w:lang w:val="bg-BG"/>
              </w:rPr>
              <w:t>те инвестиции по проекта</w:t>
            </w:r>
            <w:r w:rsidRPr="006E7ABA">
              <w:rPr>
                <w:color w:val="FF0000"/>
                <w:lang w:val="bg-BG"/>
              </w:rPr>
              <w:t>. /Съгласно Раздел 8.1/;</w:t>
            </w:r>
          </w:p>
          <w:p w:rsidR="006E7ABA" w:rsidRPr="006E7ABA" w:rsidRDefault="006E7ABA" w:rsidP="006E7ABA">
            <w:pPr>
              <w:spacing w:after="200" w:line="276" w:lineRule="auto"/>
              <w:jc w:val="both"/>
              <w:rPr>
                <w:szCs w:val="40"/>
                <w:lang w:val="bg-BG"/>
              </w:rPr>
            </w:pPr>
            <w:r w:rsidRPr="006E7ABA">
              <w:rPr>
                <w:lang w:val="bg-BG"/>
              </w:rPr>
              <w:t xml:space="preserve">2.  Разходи за </w:t>
            </w:r>
            <w:proofErr w:type="spellStart"/>
            <w:r w:rsidRPr="006E7ABA">
              <w:rPr>
                <w:lang w:val="bg-BG"/>
              </w:rPr>
              <w:t>ноу-хау</w:t>
            </w:r>
            <w:proofErr w:type="spellEnd"/>
            <w:r w:rsidRPr="006E7ABA">
              <w:rPr>
                <w:lang w:val="bg-BG"/>
              </w:rPr>
              <w:t>, придобиване на патенти права и лицензи, разходи за регистрация на търговски марки и процеси необходими за изготвяне и изпълнение на проекта”.</w:t>
            </w:r>
          </w:p>
        </w:tc>
        <w:tc>
          <w:tcPr>
            <w:tcW w:w="3937" w:type="dxa"/>
          </w:tcPr>
          <w:p w:rsidR="006E7ABA" w:rsidRPr="006E7ABA" w:rsidRDefault="006E7ABA" w:rsidP="006E7ABA">
            <w:pPr>
              <w:tabs>
                <w:tab w:val="left" w:pos="142"/>
              </w:tabs>
              <w:spacing w:after="120"/>
              <w:ind w:right="567"/>
              <w:jc w:val="both"/>
              <w:rPr>
                <w:b/>
                <w:lang w:val="bg-BG"/>
              </w:rPr>
            </w:pPr>
            <w:r w:rsidRPr="006E7ABA">
              <w:rPr>
                <w:b/>
                <w:lang w:val="bg-BG"/>
              </w:rPr>
              <w:t>Нематериални инвестиции:</w:t>
            </w:r>
          </w:p>
          <w:p w:rsidR="006E7ABA" w:rsidRPr="006E7ABA" w:rsidRDefault="006E7ABA" w:rsidP="006E7ABA">
            <w:pPr>
              <w:tabs>
                <w:tab w:val="left" w:pos="142"/>
              </w:tabs>
              <w:spacing w:after="120"/>
              <w:ind w:right="-24"/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1.   Общи разходи свързани със съответния проект за предпроектни пр</w:t>
            </w:r>
            <w:r w:rsidRPr="006E7ABA">
              <w:rPr>
                <w:lang w:val="bg-BG"/>
              </w:rPr>
              <w:t>о</w:t>
            </w:r>
            <w:r w:rsidRPr="006E7ABA">
              <w:rPr>
                <w:lang w:val="bg-BG"/>
              </w:rPr>
              <w:t>учвания, такси, хонорари за архитекти, инженери и консултантски усл</w:t>
            </w:r>
            <w:r w:rsidRPr="006E7ABA">
              <w:rPr>
                <w:lang w:val="bg-BG"/>
              </w:rPr>
              <w:t>у</w:t>
            </w:r>
            <w:r w:rsidRPr="006E7ABA">
              <w:rPr>
                <w:lang w:val="bg-BG"/>
              </w:rPr>
              <w:t>ги, консултации за екологична и икономическа устойчивост на проекти, проучвания за техническа осъществимост на проекта. Общите разходи по проекта не могат да надхвърлят 12 % от общия размер на допустим</w:t>
            </w:r>
            <w:r w:rsidRPr="006E7ABA">
              <w:rPr>
                <w:lang w:val="bg-BG"/>
              </w:rPr>
              <w:t>и</w:t>
            </w:r>
            <w:r w:rsidRPr="006E7ABA">
              <w:rPr>
                <w:lang w:val="bg-BG"/>
              </w:rPr>
              <w:t>те инвестиции по проекта</w:t>
            </w:r>
            <w:r w:rsidRPr="006E7ABA">
              <w:rPr>
                <w:color w:val="FF0000"/>
                <w:lang w:val="bg-BG"/>
              </w:rPr>
              <w:t>. /Съгласно Раздел 8.1</w:t>
            </w:r>
            <w:r w:rsidRPr="006E7ABA">
              <w:rPr>
                <w:color w:val="FF0000"/>
                <w:lang w:val="bg-BG"/>
              </w:rPr>
              <w:t xml:space="preserve"> от Програмата за развитие на селските райони 2014-2020 г.</w:t>
            </w:r>
            <w:r w:rsidRPr="006E7ABA">
              <w:rPr>
                <w:color w:val="FF0000"/>
                <w:lang w:val="bg-BG"/>
              </w:rPr>
              <w:t>/;</w:t>
            </w:r>
          </w:p>
          <w:p w:rsidR="006E7ABA" w:rsidRPr="006E7ABA" w:rsidRDefault="006E7ABA" w:rsidP="006E7ABA">
            <w:pPr>
              <w:jc w:val="both"/>
              <w:rPr>
                <w:szCs w:val="40"/>
                <w:lang w:val="bg-BG"/>
              </w:rPr>
            </w:pPr>
            <w:r w:rsidRPr="006E7ABA">
              <w:rPr>
                <w:lang w:val="bg-BG"/>
              </w:rPr>
              <w:t xml:space="preserve">2.  Разходи за </w:t>
            </w:r>
            <w:proofErr w:type="spellStart"/>
            <w:r w:rsidRPr="006E7ABA">
              <w:rPr>
                <w:lang w:val="bg-BG"/>
              </w:rPr>
              <w:t>ноу-хау</w:t>
            </w:r>
            <w:proofErr w:type="spellEnd"/>
            <w:r w:rsidRPr="006E7ABA">
              <w:rPr>
                <w:lang w:val="bg-BG"/>
              </w:rPr>
              <w:t>, придобиване на патенти права и лицензи, разходи за регистрация на търговски марки и процеси необходими за изготвяне и изпълнение на проекта”.</w:t>
            </w:r>
          </w:p>
        </w:tc>
        <w:tc>
          <w:tcPr>
            <w:tcW w:w="2688" w:type="dxa"/>
          </w:tcPr>
          <w:p w:rsidR="006E7ABA" w:rsidRPr="006E7ABA" w:rsidRDefault="000E40C0" w:rsidP="000E40C0">
            <w:pPr>
              <w:tabs>
                <w:tab w:val="left" w:pos="142"/>
              </w:tabs>
              <w:spacing w:after="120"/>
              <w:ind w:right="567"/>
              <w:jc w:val="both"/>
              <w:rPr>
                <w:b/>
                <w:lang w:val="bg-BG"/>
              </w:rPr>
            </w:pPr>
            <w:r>
              <w:rPr>
                <w:lang w:val="bg-BG"/>
              </w:rPr>
              <w:t>Прецизира</w:t>
            </w:r>
            <w:r>
              <w:rPr>
                <w:lang w:val="bg-BG"/>
              </w:rPr>
              <w:t>не на препратката към раздел 8.1</w:t>
            </w:r>
          </w:p>
        </w:tc>
      </w:tr>
      <w:tr w:rsidR="006E7ABA" w:rsidRPr="006E7ABA" w:rsidTr="006E7ABA">
        <w:tc>
          <w:tcPr>
            <w:tcW w:w="835" w:type="dxa"/>
          </w:tcPr>
          <w:p w:rsidR="006E7ABA" w:rsidRPr="006E7ABA" w:rsidRDefault="006E7ABA" w:rsidP="00826A5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E7ABA">
              <w:rPr>
                <w:b/>
                <w:szCs w:val="40"/>
                <w:lang w:val="bg-BG"/>
              </w:rPr>
              <w:lastRenderedPageBreak/>
              <w:t>8.</w:t>
            </w:r>
          </w:p>
        </w:tc>
        <w:tc>
          <w:tcPr>
            <w:tcW w:w="3065" w:type="dxa"/>
          </w:tcPr>
          <w:p w:rsidR="006E7ABA" w:rsidRPr="006E7ABA" w:rsidRDefault="006E7ABA" w:rsidP="006E7ABA">
            <w:pPr>
              <w:spacing w:after="200" w:line="276" w:lineRule="auto"/>
              <w:rPr>
                <w:szCs w:val="40"/>
                <w:lang w:val="bg-BG"/>
              </w:rPr>
            </w:pPr>
            <w:r w:rsidRPr="006E7ABA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E7ABA">
              <w:rPr>
                <w:lang w:val="bg-BG"/>
              </w:rPr>
              <w:t>Mярка</w:t>
            </w:r>
            <w:proofErr w:type="spellEnd"/>
            <w:r w:rsidRPr="006E7ABA">
              <w:rPr>
                <w:lang w:val="bg-BG"/>
              </w:rPr>
              <w:t xml:space="preserve"> 8.1 „Подпомагане за залесяване и създаване на горски масиви“, раздел „</w:t>
            </w:r>
            <w:r w:rsidRPr="006E7ABA">
              <w:rPr>
                <w:lang w:val="bg-BG"/>
              </w:rPr>
              <w:t>Критерии за оценка на проектите и тяхната тежест</w:t>
            </w:r>
            <w:r w:rsidRPr="006E7ABA">
              <w:rPr>
                <w:lang w:val="bg-BG"/>
              </w:rPr>
              <w:t>“</w:t>
            </w:r>
          </w:p>
        </w:tc>
        <w:tc>
          <w:tcPr>
            <w:tcW w:w="3698" w:type="dxa"/>
          </w:tcPr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  <w:r w:rsidRPr="006E7ABA">
              <w:rPr>
                <w:lang w:val="bg-BG" w:eastAsia="bg-BG"/>
              </w:rPr>
              <w:t>Критерии за оценка на проектите и тяхната тежест:</w:t>
            </w: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  <w:r w:rsidRPr="006E7ABA">
              <w:rPr>
                <w:lang w:val="bg-BG" w:eastAsia="bg-BG"/>
              </w:rPr>
              <w:t xml:space="preserve">Терени на територията на община с ниска </w:t>
            </w:r>
            <w:proofErr w:type="spellStart"/>
            <w:r w:rsidRPr="006E7ABA">
              <w:rPr>
                <w:lang w:val="bg-BG" w:eastAsia="bg-BG"/>
              </w:rPr>
              <w:t>лесистост</w:t>
            </w:r>
            <w:proofErr w:type="spellEnd"/>
            <w:r w:rsidRPr="006E7ABA">
              <w:rPr>
                <w:lang w:val="bg-BG" w:eastAsia="bg-BG"/>
              </w:rPr>
              <w:t xml:space="preserve"> </w:t>
            </w:r>
            <w:r w:rsidRPr="006E7ABA">
              <w:rPr>
                <w:color w:val="FF0000"/>
                <w:lang w:val="bg-BG" w:eastAsia="bg-BG"/>
              </w:rPr>
              <w:t>(от по-малко от 30% до по-малко от 60%, като се дава приоритет на по-ниският процент)</w:t>
            </w:r>
            <w:r w:rsidRPr="006E7ABA">
              <w:rPr>
                <w:lang w:val="bg-BG" w:eastAsia="bg-BG"/>
              </w:rPr>
              <w:t>.- 30 т.</w:t>
            </w: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  <w:r w:rsidRPr="006E7ABA">
              <w:rPr>
                <w:lang w:val="bg-BG" w:eastAsia="bg-BG"/>
              </w:rPr>
              <w:t>Терени на територията на община, класифицирана с висок или среден риск на ер</w:t>
            </w:r>
            <w:r w:rsidRPr="006E7ABA">
              <w:rPr>
                <w:lang w:val="bg-BG" w:eastAsia="bg-BG"/>
              </w:rPr>
              <w:t>о</w:t>
            </w:r>
            <w:r w:rsidRPr="006E7ABA">
              <w:rPr>
                <w:lang w:val="bg-BG" w:eastAsia="bg-BG"/>
              </w:rPr>
              <w:t>зия</w:t>
            </w:r>
            <w:r w:rsidRPr="006E7ABA">
              <w:rPr>
                <w:color w:val="FF0000"/>
                <w:lang w:val="bg-BG" w:eastAsia="bg-BG"/>
              </w:rPr>
              <w:t>(като се дава приоритет на високия риск)</w:t>
            </w:r>
            <w:r w:rsidRPr="006E7ABA">
              <w:rPr>
                <w:lang w:val="bg-BG" w:eastAsia="bg-BG"/>
              </w:rPr>
              <w:t>- 30 т.</w:t>
            </w: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  <w:r w:rsidRPr="006E7ABA">
              <w:rPr>
                <w:lang w:val="bg-BG" w:eastAsia="bg-BG"/>
              </w:rPr>
              <w:t>Използваните за залесяване дървесни видове са местни видове и произходи - 30 т.</w:t>
            </w:r>
          </w:p>
          <w:p w:rsidR="006E7ABA" w:rsidRPr="006E7ABA" w:rsidRDefault="006E7ABA" w:rsidP="006E7ABA">
            <w:pPr>
              <w:tabs>
                <w:tab w:val="left" w:pos="142"/>
              </w:tabs>
              <w:ind w:right="567"/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tabs>
                <w:tab w:val="left" w:pos="142"/>
              </w:tabs>
              <w:ind w:right="567"/>
              <w:jc w:val="both"/>
              <w:rPr>
                <w:color w:val="FF0000"/>
                <w:lang w:val="bg-BG" w:eastAsia="bg-BG"/>
              </w:rPr>
            </w:pPr>
            <w:r w:rsidRPr="006E7ABA">
              <w:rPr>
                <w:color w:val="FF0000"/>
                <w:lang w:val="bg-BG" w:eastAsia="bg-BG"/>
              </w:rPr>
              <w:lastRenderedPageBreak/>
              <w:t xml:space="preserve">При равни други условия, ще се дава </w:t>
            </w:r>
          </w:p>
          <w:p w:rsidR="006E7ABA" w:rsidRPr="006E7ABA" w:rsidRDefault="006E7ABA" w:rsidP="006E7ABA">
            <w:pPr>
              <w:tabs>
                <w:tab w:val="left" w:pos="142"/>
              </w:tabs>
              <w:ind w:right="567"/>
              <w:jc w:val="both"/>
              <w:rPr>
                <w:b/>
                <w:lang w:val="bg-BG"/>
              </w:rPr>
            </w:pPr>
            <w:r w:rsidRPr="006E7ABA">
              <w:rPr>
                <w:color w:val="FF0000"/>
                <w:lang w:val="bg-BG" w:eastAsia="bg-BG"/>
              </w:rPr>
              <w:t>приоритет на по-голямата площ - 10 т.</w:t>
            </w:r>
          </w:p>
        </w:tc>
        <w:tc>
          <w:tcPr>
            <w:tcW w:w="3937" w:type="dxa"/>
          </w:tcPr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  <w:r w:rsidRPr="006E7ABA">
              <w:rPr>
                <w:lang w:val="bg-BG" w:eastAsia="bg-BG"/>
              </w:rPr>
              <w:lastRenderedPageBreak/>
              <w:t>Критерии за оценка на проектите и тяхната тежест:</w:t>
            </w: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 xml:space="preserve">Терени на територията на община с ниска </w:t>
            </w:r>
            <w:proofErr w:type="spellStart"/>
            <w:r w:rsidRPr="006E7ABA">
              <w:rPr>
                <w:lang w:val="bg-BG"/>
              </w:rPr>
              <w:t>лесистост</w:t>
            </w:r>
            <w:proofErr w:type="spellEnd"/>
            <w:r w:rsidRPr="006E7ABA">
              <w:rPr>
                <w:lang w:val="bg-BG"/>
              </w:rPr>
              <w:t xml:space="preserve"> – 30 т.:</w:t>
            </w:r>
          </w:p>
          <w:p w:rsidR="006E7ABA" w:rsidRPr="006E7ABA" w:rsidRDefault="006E7ABA" w:rsidP="006E7ABA">
            <w:pPr>
              <w:pStyle w:val="a9"/>
              <w:numPr>
                <w:ilvl w:val="0"/>
                <w:numId w:val="12"/>
              </w:numPr>
              <w:jc w:val="both"/>
              <w:rPr>
                <w:color w:val="FF0000"/>
                <w:sz w:val="22"/>
                <w:lang w:val="bg-BG" w:eastAsia="bg-BG"/>
              </w:rPr>
            </w:pPr>
            <w:r w:rsidRPr="006E7ABA">
              <w:rPr>
                <w:color w:val="FF0000"/>
                <w:sz w:val="22"/>
                <w:lang w:val="bg-BG" w:eastAsia="bg-BG"/>
              </w:rPr>
              <w:t xml:space="preserve">Терени на територията на община с от 30 до 60 % </w:t>
            </w:r>
            <w:proofErr w:type="spellStart"/>
            <w:r w:rsidRPr="006E7ABA">
              <w:rPr>
                <w:color w:val="FF0000"/>
                <w:sz w:val="22"/>
                <w:lang w:val="bg-BG" w:eastAsia="bg-BG"/>
              </w:rPr>
              <w:t>лесистност</w:t>
            </w:r>
            <w:proofErr w:type="spellEnd"/>
            <w:r w:rsidRPr="006E7ABA">
              <w:rPr>
                <w:color w:val="FF0000"/>
                <w:sz w:val="22"/>
                <w:lang w:val="bg-BG" w:eastAsia="bg-BG"/>
              </w:rPr>
              <w:t xml:space="preserve"> – 15 т.</w:t>
            </w:r>
          </w:p>
          <w:p w:rsidR="006E7ABA" w:rsidRPr="006E7ABA" w:rsidRDefault="006E7ABA" w:rsidP="006E7ABA">
            <w:pPr>
              <w:pStyle w:val="a9"/>
              <w:numPr>
                <w:ilvl w:val="0"/>
                <w:numId w:val="12"/>
              </w:numPr>
              <w:tabs>
                <w:tab w:val="left" w:pos="142"/>
              </w:tabs>
              <w:spacing w:after="120"/>
              <w:jc w:val="both"/>
              <w:rPr>
                <w:color w:val="FF0000"/>
                <w:sz w:val="22"/>
                <w:lang w:val="bg-BG" w:eastAsia="bg-BG"/>
              </w:rPr>
            </w:pPr>
            <w:r w:rsidRPr="006E7ABA">
              <w:rPr>
                <w:color w:val="FF0000"/>
                <w:sz w:val="22"/>
                <w:lang w:val="bg-BG" w:eastAsia="bg-BG"/>
              </w:rPr>
              <w:t xml:space="preserve">Терени на територията на община с по-малко от 30 % </w:t>
            </w:r>
            <w:proofErr w:type="spellStart"/>
            <w:r w:rsidRPr="006E7ABA">
              <w:rPr>
                <w:color w:val="FF0000"/>
                <w:sz w:val="22"/>
                <w:lang w:val="bg-BG" w:eastAsia="bg-BG"/>
              </w:rPr>
              <w:t>лесистност</w:t>
            </w:r>
            <w:proofErr w:type="spellEnd"/>
            <w:r w:rsidRPr="006E7ABA">
              <w:rPr>
                <w:color w:val="FF0000"/>
                <w:sz w:val="22"/>
                <w:lang w:val="bg-BG" w:eastAsia="bg-BG"/>
              </w:rPr>
              <w:t xml:space="preserve"> – 30 т</w:t>
            </w:r>
          </w:p>
          <w:p w:rsidR="006E7ABA" w:rsidRPr="006E7ABA" w:rsidRDefault="006E7ABA" w:rsidP="006E7ABA">
            <w:pPr>
              <w:tabs>
                <w:tab w:val="left" w:pos="142"/>
              </w:tabs>
              <w:spacing w:after="120"/>
              <w:ind w:right="567"/>
              <w:jc w:val="both"/>
              <w:rPr>
                <w:b/>
                <w:lang w:val="bg-BG"/>
              </w:rPr>
            </w:pPr>
          </w:p>
          <w:p w:rsidR="006E7ABA" w:rsidRPr="006E7ABA" w:rsidRDefault="006E7ABA" w:rsidP="006E7ABA">
            <w:pPr>
              <w:jc w:val="both"/>
              <w:rPr>
                <w:lang w:val="bg-BG"/>
              </w:rPr>
            </w:pPr>
            <w:r w:rsidRPr="006E7ABA">
              <w:rPr>
                <w:lang w:val="bg-BG"/>
              </w:rPr>
              <w:t>Терени на територията на община, класифицирана с висок или среден риск на ерозия – 30 т.:</w:t>
            </w:r>
          </w:p>
          <w:p w:rsidR="006E7ABA" w:rsidRPr="006E7ABA" w:rsidRDefault="006E7ABA" w:rsidP="006E7ABA">
            <w:pPr>
              <w:pStyle w:val="a9"/>
              <w:numPr>
                <w:ilvl w:val="0"/>
                <w:numId w:val="12"/>
              </w:numPr>
              <w:jc w:val="both"/>
              <w:rPr>
                <w:color w:val="FF0000"/>
                <w:sz w:val="22"/>
                <w:szCs w:val="22"/>
                <w:lang w:val="bg-BG"/>
              </w:rPr>
            </w:pPr>
            <w:r w:rsidRPr="006E7ABA">
              <w:rPr>
                <w:color w:val="FF0000"/>
                <w:sz w:val="22"/>
                <w:szCs w:val="22"/>
                <w:lang w:val="bg-BG"/>
              </w:rPr>
              <w:t>Терени на територията на община, класифицирана със среден риск на ерозия – 20 т.</w:t>
            </w:r>
          </w:p>
          <w:p w:rsidR="006E7ABA" w:rsidRPr="006E7ABA" w:rsidRDefault="006E7ABA" w:rsidP="006E7ABA">
            <w:pPr>
              <w:pStyle w:val="a9"/>
              <w:numPr>
                <w:ilvl w:val="0"/>
                <w:numId w:val="12"/>
              </w:numPr>
              <w:tabs>
                <w:tab w:val="left" w:pos="142"/>
                <w:tab w:val="left" w:pos="3604"/>
              </w:tabs>
              <w:spacing w:after="120"/>
              <w:ind w:right="117"/>
              <w:jc w:val="both"/>
              <w:rPr>
                <w:b/>
                <w:lang w:val="bg-BG"/>
              </w:rPr>
            </w:pPr>
            <w:r w:rsidRPr="006E7ABA">
              <w:rPr>
                <w:color w:val="FF0000"/>
                <w:sz w:val="22"/>
                <w:szCs w:val="22"/>
                <w:lang w:val="bg-BG"/>
              </w:rPr>
              <w:t xml:space="preserve">Терени на територията на община, класифицирана с </w:t>
            </w:r>
          </w:p>
          <w:p w:rsidR="006E7ABA" w:rsidRPr="006E7ABA" w:rsidRDefault="006E7ABA" w:rsidP="006E7ABA">
            <w:pPr>
              <w:pStyle w:val="a9"/>
              <w:tabs>
                <w:tab w:val="left" w:pos="142"/>
              </w:tabs>
              <w:spacing w:after="120"/>
              <w:ind w:left="1080" w:right="567"/>
              <w:jc w:val="both"/>
              <w:rPr>
                <w:b/>
                <w:lang w:val="bg-BG"/>
              </w:rPr>
            </w:pPr>
            <w:r w:rsidRPr="006E7ABA">
              <w:rPr>
                <w:color w:val="FF0000"/>
                <w:sz w:val="22"/>
                <w:szCs w:val="22"/>
                <w:lang w:val="bg-BG"/>
              </w:rPr>
              <w:t>висок рис на ерозия – 30 т</w:t>
            </w:r>
            <w:r w:rsidRPr="006E7ABA">
              <w:rPr>
                <w:color w:val="FF0000"/>
                <w:sz w:val="22"/>
                <w:szCs w:val="22"/>
                <w:lang w:val="bg-BG"/>
              </w:rPr>
              <w:t>.</w:t>
            </w:r>
          </w:p>
          <w:p w:rsidR="006E7ABA" w:rsidRPr="006E7ABA" w:rsidRDefault="006E7ABA" w:rsidP="006E7ABA">
            <w:pPr>
              <w:jc w:val="both"/>
              <w:rPr>
                <w:lang w:val="bg-BG" w:eastAsia="bg-BG"/>
              </w:rPr>
            </w:pPr>
            <w:r w:rsidRPr="006E7ABA">
              <w:rPr>
                <w:lang w:val="bg-BG" w:eastAsia="bg-BG"/>
              </w:rPr>
              <w:t>Използваните за залесяване дървесни видове са местни видове и произходи - 30 т.</w:t>
            </w:r>
          </w:p>
          <w:p w:rsidR="006E7ABA" w:rsidRPr="006E7ABA" w:rsidRDefault="006E7ABA" w:rsidP="006E7ABA">
            <w:pPr>
              <w:tabs>
                <w:tab w:val="left" w:pos="142"/>
              </w:tabs>
              <w:spacing w:after="120"/>
              <w:ind w:right="567"/>
              <w:jc w:val="both"/>
              <w:rPr>
                <w:b/>
                <w:lang w:val="bg-BG"/>
              </w:rPr>
            </w:pPr>
          </w:p>
          <w:p w:rsidR="006E7ABA" w:rsidRPr="006E7ABA" w:rsidRDefault="006E7ABA" w:rsidP="006E7ABA">
            <w:pPr>
              <w:tabs>
                <w:tab w:val="left" w:pos="142"/>
              </w:tabs>
              <w:spacing w:after="120"/>
              <w:jc w:val="both"/>
              <w:rPr>
                <w:b/>
                <w:lang w:val="bg-BG"/>
              </w:rPr>
            </w:pPr>
            <w:r w:rsidRPr="006E7ABA">
              <w:rPr>
                <w:color w:val="FF0000"/>
                <w:lang w:val="bg-BG" w:eastAsia="bg-BG"/>
              </w:rPr>
              <w:lastRenderedPageBreak/>
              <w:t>При наличие на проекти е равен брой точки, за които не достига финансов ресурс, приоритет се дава на проекти, чиито дейности обхващат по-голяма площ</w:t>
            </w:r>
            <w:r w:rsidRPr="006E7ABA">
              <w:rPr>
                <w:color w:val="FF0000"/>
                <w:lang w:val="bg-BG" w:eastAsia="bg-BG"/>
              </w:rPr>
              <w:t>.</w:t>
            </w:r>
          </w:p>
        </w:tc>
        <w:tc>
          <w:tcPr>
            <w:tcW w:w="2688" w:type="dxa"/>
          </w:tcPr>
          <w:p w:rsidR="006E7ABA" w:rsidRDefault="006E7ABA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Прецизиране на критерия с цел яснота за </w:t>
            </w:r>
            <w:proofErr w:type="spellStart"/>
            <w:r>
              <w:rPr>
                <w:lang w:val="bg-BG" w:eastAsia="bg-BG"/>
              </w:rPr>
              <w:t>приоритизирането</w:t>
            </w:r>
            <w:proofErr w:type="spellEnd"/>
            <w:r>
              <w:rPr>
                <w:lang w:val="bg-BG" w:eastAsia="bg-BG"/>
              </w:rPr>
              <w:t xml:space="preserve"> на по-ниския процент </w:t>
            </w:r>
            <w:proofErr w:type="spellStart"/>
            <w:r>
              <w:rPr>
                <w:lang w:val="bg-BG" w:eastAsia="bg-BG"/>
              </w:rPr>
              <w:t>лесистост</w:t>
            </w:r>
            <w:proofErr w:type="spellEnd"/>
            <w:r>
              <w:rPr>
                <w:lang w:val="bg-BG" w:eastAsia="bg-BG"/>
              </w:rPr>
              <w:t>.</w:t>
            </w: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Прецизиране на критерия с цел яснота за </w:t>
            </w:r>
            <w:proofErr w:type="spellStart"/>
            <w:r>
              <w:rPr>
                <w:lang w:val="bg-BG" w:eastAsia="bg-BG"/>
              </w:rPr>
              <w:t>приоритизирането</w:t>
            </w:r>
            <w:proofErr w:type="spellEnd"/>
            <w:r>
              <w:rPr>
                <w:lang w:val="bg-BG" w:eastAsia="bg-BG"/>
              </w:rPr>
              <w:t xml:space="preserve"> на високия рис на ерозия.</w:t>
            </w: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lastRenderedPageBreak/>
              <w:t>Настоящият текст не е критерий за оценка на проектите а условие, при което те могат да бъдат класирани при липса на финансов ресурс и равен брой точки на 2 или повече проекта.</w:t>
            </w:r>
          </w:p>
          <w:p w:rsidR="000E40C0" w:rsidRDefault="000E40C0" w:rsidP="006E7ABA">
            <w:pPr>
              <w:jc w:val="both"/>
              <w:rPr>
                <w:lang w:val="bg-BG" w:eastAsia="bg-BG"/>
              </w:rPr>
            </w:pPr>
          </w:p>
          <w:p w:rsidR="000E40C0" w:rsidRPr="006E7ABA" w:rsidRDefault="000E40C0" w:rsidP="006E7ABA">
            <w:pPr>
              <w:jc w:val="both"/>
              <w:rPr>
                <w:lang w:val="bg-BG" w:eastAsia="bg-BG"/>
              </w:rPr>
            </w:pPr>
          </w:p>
        </w:tc>
      </w:tr>
    </w:tbl>
    <w:p w:rsidR="00B3508B" w:rsidRPr="006E7ABA" w:rsidRDefault="00B3508B" w:rsidP="000E40C0">
      <w:pPr>
        <w:ind w:firstLine="567"/>
        <w:jc w:val="both"/>
        <w:rPr>
          <w:lang w:val="bg-BG"/>
        </w:rPr>
      </w:pPr>
      <w:bookmarkStart w:id="0" w:name="_GoBack"/>
      <w:bookmarkEnd w:id="0"/>
    </w:p>
    <w:sectPr w:rsidR="00B3508B" w:rsidRPr="006E7ABA" w:rsidSect="00CF135B">
      <w:headerReference w:type="default" r:id="rId9"/>
      <w:footerReference w:type="default" r:id="rId10"/>
      <w:pgSz w:w="16838" w:h="11906" w:orient="landscape"/>
      <w:pgMar w:top="1417" w:right="1417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5F" w:rsidRDefault="00D2415F" w:rsidP="001924A4">
      <w:r>
        <w:separator/>
      </w:r>
    </w:p>
  </w:endnote>
  <w:endnote w:type="continuationSeparator" w:id="0">
    <w:p w:rsidR="00D2415F" w:rsidRDefault="00D2415F" w:rsidP="0019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E0000" w:usb2="00000010" w:usb3="00000000" w:csb0="0004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A4" w:rsidRDefault="001924A4" w:rsidP="001924A4">
    <w:pPr>
      <w:pStyle w:val="a5"/>
      <w:jc w:val="center"/>
    </w:pPr>
    <w:r>
      <w:rPr>
        <w:noProof/>
        <w:lang w:eastAsia="bg-BG"/>
      </w:rPr>
      <w:drawing>
        <wp:inline distT="0" distB="0" distL="0" distR="0" wp14:anchorId="1A7BA7CA" wp14:editId="14E09FAA">
          <wp:extent cx="2838450" cy="687070"/>
          <wp:effectExtent l="0" t="0" r="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ka MIG BN.v3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5F" w:rsidRDefault="00D2415F" w:rsidP="001924A4">
      <w:r>
        <w:separator/>
      </w:r>
    </w:p>
  </w:footnote>
  <w:footnote w:type="continuationSeparator" w:id="0">
    <w:p w:rsidR="00D2415F" w:rsidRDefault="00D2415F" w:rsidP="00192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A4" w:rsidRDefault="001924A4" w:rsidP="001924A4">
    <w:pPr>
      <w:pStyle w:val="a3"/>
      <w:jc w:val="center"/>
    </w:pPr>
    <w:r>
      <w:rPr>
        <w:noProof/>
        <w:lang w:eastAsia="bg-BG"/>
      </w:rPr>
      <w:drawing>
        <wp:inline distT="0" distB="0" distL="0" distR="0" wp14:anchorId="48F438DA" wp14:editId="5C35E414">
          <wp:extent cx="5760720" cy="1346835"/>
          <wp:effectExtent l="0" t="0" r="0" b="5715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ka MIG BN.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BF7"/>
    <w:multiLevelType w:val="hybridMultilevel"/>
    <w:tmpl w:val="F84C2D94"/>
    <w:lvl w:ilvl="0" w:tplc="F37696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141F16"/>
    <w:multiLevelType w:val="hybridMultilevel"/>
    <w:tmpl w:val="FC0E4440"/>
    <w:lvl w:ilvl="0" w:tplc="A1AA9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691047"/>
    <w:multiLevelType w:val="hybridMultilevel"/>
    <w:tmpl w:val="561A7C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C2339"/>
    <w:multiLevelType w:val="hybridMultilevel"/>
    <w:tmpl w:val="B26E9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0ED1D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704F9A4">
      <w:numFmt w:val="bullet"/>
      <w:lvlText w:val="·"/>
      <w:lvlJc w:val="left"/>
      <w:pPr>
        <w:ind w:left="2235" w:hanging="435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667C4"/>
    <w:multiLevelType w:val="hybridMultilevel"/>
    <w:tmpl w:val="6818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B4F4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5E37"/>
    <w:multiLevelType w:val="hybridMultilevel"/>
    <w:tmpl w:val="80F83252"/>
    <w:lvl w:ilvl="0" w:tplc="0402000F">
      <w:start w:val="1"/>
      <w:numFmt w:val="decimal"/>
      <w:lvlText w:val="%1."/>
      <w:lvlJc w:val="left"/>
      <w:pPr>
        <w:ind w:left="5889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E1402"/>
    <w:multiLevelType w:val="hybridMultilevel"/>
    <w:tmpl w:val="E4DA2FF6"/>
    <w:lvl w:ilvl="0" w:tplc="B05C51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7062B2"/>
    <w:multiLevelType w:val="hybridMultilevel"/>
    <w:tmpl w:val="A4F27C94"/>
    <w:lvl w:ilvl="0" w:tplc="0926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8F165E"/>
    <w:multiLevelType w:val="hybridMultilevel"/>
    <w:tmpl w:val="80666A3E"/>
    <w:lvl w:ilvl="0" w:tplc="FEE669B8">
      <w:start w:val="3"/>
      <w:numFmt w:val="bullet"/>
      <w:lvlText w:val="-"/>
      <w:lvlJc w:val="left"/>
      <w:pPr>
        <w:ind w:left="2149" w:hanging="360"/>
      </w:pPr>
      <w:rPr>
        <w:rFonts w:ascii="TimesNewRomanPSMT" w:eastAsia="Times New Roman" w:hAnsi="TimesNewRomanPSMT" w:cs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722305B7"/>
    <w:multiLevelType w:val="hybridMultilevel"/>
    <w:tmpl w:val="722305B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73956AC3"/>
    <w:multiLevelType w:val="hybridMultilevel"/>
    <w:tmpl w:val="D256C44C"/>
    <w:lvl w:ilvl="0" w:tplc="E4669C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B77B7"/>
    <w:multiLevelType w:val="hybridMultilevel"/>
    <w:tmpl w:val="FC0E4440"/>
    <w:lvl w:ilvl="0" w:tplc="A1AA9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A4"/>
    <w:rsid w:val="00012D01"/>
    <w:rsid w:val="00014775"/>
    <w:rsid w:val="000278CA"/>
    <w:rsid w:val="000310DD"/>
    <w:rsid w:val="0003140C"/>
    <w:rsid w:val="00042D4C"/>
    <w:rsid w:val="000478A7"/>
    <w:rsid w:val="00070702"/>
    <w:rsid w:val="000709B5"/>
    <w:rsid w:val="000747A9"/>
    <w:rsid w:val="00082F40"/>
    <w:rsid w:val="0008551F"/>
    <w:rsid w:val="00092843"/>
    <w:rsid w:val="000A73B7"/>
    <w:rsid w:val="000C0396"/>
    <w:rsid w:val="000C2CE9"/>
    <w:rsid w:val="000D5A22"/>
    <w:rsid w:val="000E40C0"/>
    <w:rsid w:val="000E6578"/>
    <w:rsid w:val="000F148C"/>
    <w:rsid w:val="000F1607"/>
    <w:rsid w:val="000F4177"/>
    <w:rsid w:val="000F72E4"/>
    <w:rsid w:val="00104F96"/>
    <w:rsid w:val="00105139"/>
    <w:rsid w:val="00111E95"/>
    <w:rsid w:val="00115C24"/>
    <w:rsid w:val="00122CE1"/>
    <w:rsid w:val="00123965"/>
    <w:rsid w:val="00134554"/>
    <w:rsid w:val="00137A7D"/>
    <w:rsid w:val="001438EE"/>
    <w:rsid w:val="001456BC"/>
    <w:rsid w:val="001619AC"/>
    <w:rsid w:val="00167840"/>
    <w:rsid w:val="00176E99"/>
    <w:rsid w:val="001924A4"/>
    <w:rsid w:val="001B1066"/>
    <w:rsid w:val="001B1AF1"/>
    <w:rsid w:val="001B56FA"/>
    <w:rsid w:val="001C5B6F"/>
    <w:rsid w:val="001D0F5C"/>
    <w:rsid w:val="00201E9C"/>
    <w:rsid w:val="002179A1"/>
    <w:rsid w:val="00224304"/>
    <w:rsid w:val="00227B1F"/>
    <w:rsid w:val="00231DD0"/>
    <w:rsid w:val="00244357"/>
    <w:rsid w:val="00250814"/>
    <w:rsid w:val="002606C7"/>
    <w:rsid w:val="002719D0"/>
    <w:rsid w:val="0027365A"/>
    <w:rsid w:val="00274C19"/>
    <w:rsid w:val="00277831"/>
    <w:rsid w:val="00286BE8"/>
    <w:rsid w:val="002938F9"/>
    <w:rsid w:val="002D0F09"/>
    <w:rsid w:val="002D2D82"/>
    <w:rsid w:val="002E17F4"/>
    <w:rsid w:val="002F5A22"/>
    <w:rsid w:val="00313343"/>
    <w:rsid w:val="00326E5D"/>
    <w:rsid w:val="003309CD"/>
    <w:rsid w:val="003404B4"/>
    <w:rsid w:val="0035394C"/>
    <w:rsid w:val="0038173C"/>
    <w:rsid w:val="0038539E"/>
    <w:rsid w:val="00392FF5"/>
    <w:rsid w:val="00394E7A"/>
    <w:rsid w:val="003B0755"/>
    <w:rsid w:val="003B4069"/>
    <w:rsid w:val="003C27D0"/>
    <w:rsid w:val="003E1478"/>
    <w:rsid w:val="00407190"/>
    <w:rsid w:val="00416857"/>
    <w:rsid w:val="00427FBA"/>
    <w:rsid w:val="00430294"/>
    <w:rsid w:val="0044270C"/>
    <w:rsid w:val="00445ADA"/>
    <w:rsid w:val="00447425"/>
    <w:rsid w:val="00453748"/>
    <w:rsid w:val="004573EA"/>
    <w:rsid w:val="00460F77"/>
    <w:rsid w:val="00462585"/>
    <w:rsid w:val="00466059"/>
    <w:rsid w:val="00494EF0"/>
    <w:rsid w:val="004954DE"/>
    <w:rsid w:val="004B183C"/>
    <w:rsid w:val="004C2BB8"/>
    <w:rsid w:val="004D7822"/>
    <w:rsid w:val="004E17A9"/>
    <w:rsid w:val="004E181D"/>
    <w:rsid w:val="004E457A"/>
    <w:rsid w:val="004E5DCB"/>
    <w:rsid w:val="004E7BA1"/>
    <w:rsid w:val="004F29C0"/>
    <w:rsid w:val="00500788"/>
    <w:rsid w:val="005067A2"/>
    <w:rsid w:val="005203D0"/>
    <w:rsid w:val="00533CA5"/>
    <w:rsid w:val="0053756B"/>
    <w:rsid w:val="00541562"/>
    <w:rsid w:val="00567CAF"/>
    <w:rsid w:val="00584B9D"/>
    <w:rsid w:val="00587A1D"/>
    <w:rsid w:val="005942FB"/>
    <w:rsid w:val="00595E6A"/>
    <w:rsid w:val="005C09E6"/>
    <w:rsid w:val="005D3C5C"/>
    <w:rsid w:val="005E3919"/>
    <w:rsid w:val="00601AF3"/>
    <w:rsid w:val="00607015"/>
    <w:rsid w:val="00624F13"/>
    <w:rsid w:val="006537D9"/>
    <w:rsid w:val="006605C7"/>
    <w:rsid w:val="0066316D"/>
    <w:rsid w:val="006644D9"/>
    <w:rsid w:val="00672DC7"/>
    <w:rsid w:val="00682B64"/>
    <w:rsid w:val="0068428C"/>
    <w:rsid w:val="0068596A"/>
    <w:rsid w:val="00686846"/>
    <w:rsid w:val="00687832"/>
    <w:rsid w:val="006940BC"/>
    <w:rsid w:val="006A513D"/>
    <w:rsid w:val="006C3A7F"/>
    <w:rsid w:val="006C40CC"/>
    <w:rsid w:val="006C4460"/>
    <w:rsid w:val="006D1E10"/>
    <w:rsid w:val="006D5204"/>
    <w:rsid w:val="006D78C6"/>
    <w:rsid w:val="006E336F"/>
    <w:rsid w:val="006E7ABA"/>
    <w:rsid w:val="00701AAB"/>
    <w:rsid w:val="007113F9"/>
    <w:rsid w:val="00740C24"/>
    <w:rsid w:val="00750C08"/>
    <w:rsid w:val="00755561"/>
    <w:rsid w:val="00762A4C"/>
    <w:rsid w:val="00762AC6"/>
    <w:rsid w:val="00767A98"/>
    <w:rsid w:val="00776335"/>
    <w:rsid w:val="007810D9"/>
    <w:rsid w:val="00786BD8"/>
    <w:rsid w:val="00792E35"/>
    <w:rsid w:val="00792FCC"/>
    <w:rsid w:val="007B74F3"/>
    <w:rsid w:val="007C6060"/>
    <w:rsid w:val="007D4906"/>
    <w:rsid w:val="007E6222"/>
    <w:rsid w:val="0080030B"/>
    <w:rsid w:val="00801DFE"/>
    <w:rsid w:val="00816014"/>
    <w:rsid w:val="0081723E"/>
    <w:rsid w:val="00826A5A"/>
    <w:rsid w:val="00832A6C"/>
    <w:rsid w:val="008340AB"/>
    <w:rsid w:val="00835EA2"/>
    <w:rsid w:val="008361CC"/>
    <w:rsid w:val="00843407"/>
    <w:rsid w:val="00843763"/>
    <w:rsid w:val="008704D5"/>
    <w:rsid w:val="00873B24"/>
    <w:rsid w:val="00890B92"/>
    <w:rsid w:val="008A59A5"/>
    <w:rsid w:val="008B1D4E"/>
    <w:rsid w:val="008B78E2"/>
    <w:rsid w:val="008C4D17"/>
    <w:rsid w:val="008D70B1"/>
    <w:rsid w:val="008E59D8"/>
    <w:rsid w:val="00903A37"/>
    <w:rsid w:val="00907FB8"/>
    <w:rsid w:val="009327BF"/>
    <w:rsid w:val="00935B42"/>
    <w:rsid w:val="0093759F"/>
    <w:rsid w:val="009460D8"/>
    <w:rsid w:val="00952785"/>
    <w:rsid w:val="009543D0"/>
    <w:rsid w:val="009630AD"/>
    <w:rsid w:val="00976AF7"/>
    <w:rsid w:val="00997C37"/>
    <w:rsid w:val="009A6D6C"/>
    <w:rsid w:val="009B3CD6"/>
    <w:rsid w:val="009C7322"/>
    <w:rsid w:val="009E030B"/>
    <w:rsid w:val="00A1186D"/>
    <w:rsid w:val="00A169E1"/>
    <w:rsid w:val="00A267D5"/>
    <w:rsid w:val="00A32278"/>
    <w:rsid w:val="00A35259"/>
    <w:rsid w:val="00A3629B"/>
    <w:rsid w:val="00A426E1"/>
    <w:rsid w:val="00A42C3E"/>
    <w:rsid w:val="00A7388D"/>
    <w:rsid w:val="00A8257E"/>
    <w:rsid w:val="00A84E34"/>
    <w:rsid w:val="00A85980"/>
    <w:rsid w:val="00A96484"/>
    <w:rsid w:val="00AA1903"/>
    <w:rsid w:val="00AA2FD5"/>
    <w:rsid w:val="00AB7102"/>
    <w:rsid w:val="00AC7DAF"/>
    <w:rsid w:val="00AE6AA5"/>
    <w:rsid w:val="00AE7547"/>
    <w:rsid w:val="00AE75E6"/>
    <w:rsid w:val="00AF0ABE"/>
    <w:rsid w:val="00B2229C"/>
    <w:rsid w:val="00B33754"/>
    <w:rsid w:val="00B3508B"/>
    <w:rsid w:val="00B54EDD"/>
    <w:rsid w:val="00B55CF5"/>
    <w:rsid w:val="00B7564F"/>
    <w:rsid w:val="00B80A63"/>
    <w:rsid w:val="00B91C67"/>
    <w:rsid w:val="00B94625"/>
    <w:rsid w:val="00BA1AF5"/>
    <w:rsid w:val="00BA30CF"/>
    <w:rsid w:val="00BA4D05"/>
    <w:rsid w:val="00BC13D8"/>
    <w:rsid w:val="00BC19FB"/>
    <w:rsid w:val="00BC41F7"/>
    <w:rsid w:val="00BC7643"/>
    <w:rsid w:val="00BD7EA0"/>
    <w:rsid w:val="00BE019D"/>
    <w:rsid w:val="00BE1B7D"/>
    <w:rsid w:val="00BF3EE0"/>
    <w:rsid w:val="00BF6896"/>
    <w:rsid w:val="00C15C60"/>
    <w:rsid w:val="00C23A8C"/>
    <w:rsid w:val="00C33A51"/>
    <w:rsid w:val="00C42A0A"/>
    <w:rsid w:val="00C4544F"/>
    <w:rsid w:val="00C5591F"/>
    <w:rsid w:val="00C57C9F"/>
    <w:rsid w:val="00C6475B"/>
    <w:rsid w:val="00C90178"/>
    <w:rsid w:val="00CB11A8"/>
    <w:rsid w:val="00CB1DC6"/>
    <w:rsid w:val="00CB336A"/>
    <w:rsid w:val="00CC2681"/>
    <w:rsid w:val="00CC7F9A"/>
    <w:rsid w:val="00CD589A"/>
    <w:rsid w:val="00CD6629"/>
    <w:rsid w:val="00CD6FFA"/>
    <w:rsid w:val="00CE0023"/>
    <w:rsid w:val="00CF135B"/>
    <w:rsid w:val="00CF504D"/>
    <w:rsid w:val="00D05EF7"/>
    <w:rsid w:val="00D0703B"/>
    <w:rsid w:val="00D144DC"/>
    <w:rsid w:val="00D2415F"/>
    <w:rsid w:val="00D24D59"/>
    <w:rsid w:val="00D356EE"/>
    <w:rsid w:val="00D41C2F"/>
    <w:rsid w:val="00D41EF5"/>
    <w:rsid w:val="00D42845"/>
    <w:rsid w:val="00D57A1B"/>
    <w:rsid w:val="00D60B64"/>
    <w:rsid w:val="00D80373"/>
    <w:rsid w:val="00D82071"/>
    <w:rsid w:val="00D879CD"/>
    <w:rsid w:val="00DA1538"/>
    <w:rsid w:val="00DB3850"/>
    <w:rsid w:val="00DB4937"/>
    <w:rsid w:val="00DE2BEB"/>
    <w:rsid w:val="00DF464C"/>
    <w:rsid w:val="00DF6003"/>
    <w:rsid w:val="00DF78B9"/>
    <w:rsid w:val="00E02E9D"/>
    <w:rsid w:val="00E217AF"/>
    <w:rsid w:val="00E24708"/>
    <w:rsid w:val="00E422DC"/>
    <w:rsid w:val="00E62F46"/>
    <w:rsid w:val="00E679CD"/>
    <w:rsid w:val="00E75B2D"/>
    <w:rsid w:val="00E80046"/>
    <w:rsid w:val="00E829C5"/>
    <w:rsid w:val="00E93481"/>
    <w:rsid w:val="00EB0ED1"/>
    <w:rsid w:val="00EB684F"/>
    <w:rsid w:val="00EE1A20"/>
    <w:rsid w:val="00EE729C"/>
    <w:rsid w:val="00EF66F9"/>
    <w:rsid w:val="00F02867"/>
    <w:rsid w:val="00F14AB2"/>
    <w:rsid w:val="00F15C50"/>
    <w:rsid w:val="00F1680B"/>
    <w:rsid w:val="00F24580"/>
    <w:rsid w:val="00F31C53"/>
    <w:rsid w:val="00F460A4"/>
    <w:rsid w:val="00F47BEC"/>
    <w:rsid w:val="00F7119F"/>
    <w:rsid w:val="00F95DC0"/>
    <w:rsid w:val="00F96A9B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924A4"/>
  </w:style>
  <w:style w:type="paragraph" w:styleId="a5">
    <w:name w:val="footer"/>
    <w:basedOn w:val="a"/>
    <w:link w:val="a6"/>
    <w:uiPriority w:val="99"/>
    <w:unhideWhenUsed/>
    <w:rsid w:val="00192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1924A4"/>
  </w:style>
  <w:style w:type="paragraph" w:styleId="a7">
    <w:name w:val="Balloon Text"/>
    <w:basedOn w:val="a"/>
    <w:link w:val="a8"/>
    <w:uiPriority w:val="99"/>
    <w:semiHidden/>
    <w:unhideWhenUsed/>
    <w:rsid w:val="001924A4"/>
    <w:rPr>
      <w:rFonts w:ascii="Tahoma" w:eastAsiaTheme="minorHAnsi" w:hAnsi="Tahoma" w:cs="Tahoma"/>
      <w:sz w:val="16"/>
      <w:szCs w:val="16"/>
      <w:lang w:val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1924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0B64"/>
    <w:pPr>
      <w:ind w:left="720"/>
      <w:contextualSpacing/>
    </w:pPr>
  </w:style>
  <w:style w:type="table" w:styleId="aa">
    <w:name w:val="Table Grid"/>
    <w:basedOn w:val="a1"/>
    <w:uiPriority w:val="59"/>
    <w:rsid w:val="00D6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55561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6E7ABA"/>
    <w:rPr>
      <w:sz w:val="20"/>
      <w:lang w:val="bg-BG"/>
    </w:rPr>
  </w:style>
  <w:style w:type="character" w:customStyle="1" w:styleId="ad">
    <w:name w:val="Основен текст Знак"/>
    <w:basedOn w:val="a0"/>
    <w:link w:val="ac"/>
    <w:uiPriority w:val="99"/>
    <w:rsid w:val="006E7ABA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924A4"/>
  </w:style>
  <w:style w:type="paragraph" w:styleId="a5">
    <w:name w:val="footer"/>
    <w:basedOn w:val="a"/>
    <w:link w:val="a6"/>
    <w:uiPriority w:val="99"/>
    <w:unhideWhenUsed/>
    <w:rsid w:val="00192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1924A4"/>
  </w:style>
  <w:style w:type="paragraph" w:styleId="a7">
    <w:name w:val="Balloon Text"/>
    <w:basedOn w:val="a"/>
    <w:link w:val="a8"/>
    <w:uiPriority w:val="99"/>
    <w:semiHidden/>
    <w:unhideWhenUsed/>
    <w:rsid w:val="001924A4"/>
    <w:rPr>
      <w:rFonts w:ascii="Tahoma" w:eastAsiaTheme="minorHAnsi" w:hAnsi="Tahoma" w:cs="Tahoma"/>
      <w:sz w:val="16"/>
      <w:szCs w:val="16"/>
      <w:lang w:val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1924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0B64"/>
    <w:pPr>
      <w:ind w:left="720"/>
      <w:contextualSpacing/>
    </w:pPr>
  </w:style>
  <w:style w:type="table" w:styleId="aa">
    <w:name w:val="Table Grid"/>
    <w:basedOn w:val="a1"/>
    <w:uiPriority w:val="59"/>
    <w:rsid w:val="00D6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55561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6E7ABA"/>
    <w:rPr>
      <w:sz w:val="20"/>
      <w:lang w:val="bg-BG"/>
    </w:rPr>
  </w:style>
  <w:style w:type="character" w:customStyle="1" w:styleId="ad">
    <w:name w:val="Основен текст Знак"/>
    <w:basedOn w:val="a0"/>
    <w:link w:val="ac"/>
    <w:uiPriority w:val="99"/>
    <w:rsid w:val="006E7ABA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CDCD-FEB7-4903-ACC6-008F9D8F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Windows User</cp:lastModifiedBy>
  <cp:revision>2</cp:revision>
  <dcterms:created xsi:type="dcterms:W3CDTF">2019-02-22T11:04:00Z</dcterms:created>
  <dcterms:modified xsi:type="dcterms:W3CDTF">2019-02-22T11:04:00Z</dcterms:modified>
</cp:coreProperties>
</file>